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88" w:type="dxa"/>
        <w:tblBorders>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10888"/>
      </w:tblGrid>
      <w:tr w:rsidR="0009398B" w:rsidRPr="00E80F4B" w14:paraId="2B98E702" w14:textId="77777777" w:rsidTr="006F0090">
        <w:trPr>
          <w:trHeight w:val="432"/>
          <w:tblHeader/>
        </w:trPr>
        <w:tc>
          <w:tcPr>
            <w:tcW w:w="10888" w:type="dxa"/>
            <w:tcBorders>
              <w:top w:val="nil"/>
              <w:bottom w:val="single" w:sz="4" w:space="0" w:color="auto"/>
              <w:right w:val="nil"/>
            </w:tcBorders>
            <w:shd w:val="clear" w:color="auto" w:fill="404040" w:themeFill="text1" w:themeFillTint="BF"/>
            <w:vAlign w:val="bottom"/>
          </w:tcPr>
          <w:p w14:paraId="7BBA0D30" w14:textId="73767988" w:rsidR="0009398B" w:rsidRPr="00762493" w:rsidRDefault="00423EF3" w:rsidP="00222587">
            <w:pPr>
              <w:pStyle w:val="Heading3"/>
              <w:rPr>
                <w:color w:val="FFFFFF" w:themeColor="background1"/>
                <w:sz w:val="20"/>
                <w:szCs w:val="20"/>
              </w:rPr>
            </w:pPr>
            <w:bookmarkStart w:id="0" w:name="_Toc376529143"/>
            <w:r>
              <w:rPr>
                <w:color w:val="FFFFFF" w:themeColor="background1"/>
                <w:sz w:val="20"/>
                <w:szCs w:val="20"/>
              </w:rPr>
              <w:t xml:space="preserve">ICB </w:t>
            </w:r>
            <w:r w:rsidR="008C1781" w:rsidRPr="00762493">
              <w:rPr>
                <w:color w:val="FFFFFF" w:themeColor="background1"/>
                <w:sz w:val="20"/>
                <w:szCs w:val="20"/>
              </w:rPr>
              <w:t xml:space="preserve">CDT </w:t>
            </w:r>
            <w:r w:rsidR="008C3D42">
              <w:rPr>
                <w:color w:val="FFFFFF" w:themeColor="background1"/>
                <w:sz w:val="20"/>
                <w:szCs w:val="20"/>
              </w:rPr>
              <w:t>OVERVIEW</w:t>
            </w:r>
            <w:bookmarkEnd w:id="0"/>
          </w:p>
        </w:tc>
      </w:tr>
      <w:tr w:rsidR="00892564" w:rsidRPr="00E80F4B" w14:paraId="488D857F" w14:textId="77777777" w:rsidTr="00EB0C79">
        <w:trPr>
          <w:trHeight w:val="2203"/>
        </w:trPr>
        <w:tc>
          <w:tcPr>
            <w:tcW w:w="10888" w:type="dxa"/>
            <w:tcBorders>
              <w:top w:val="single" w:sz="4" w:space="0" w:color="auto"/>
            </w:tcBorders>
            <w:shd w:val="clear" w:color="auto" w:fill="auto"/>
          </w:tcPr>
          <w:p w14:paraId="0BA77FEC" w14:textId="3F87795D" w:rsidR="007C6BCC" w:rsidRDefault="007C6BCC" w:rsidP="00C81EBB">
            <w:pPr>
              <w:jc w:val="both"/>
              <w:rPr>
                <w:szCs w:val="20"/>
              </w:rPr>
            </w:pPr>
            <w:r w:rsidRPr="007C6BCC">
              <w:rPr>
                <w:szCs w:val="20"/>
              </w:rPr>
              <w:t>The Institute of Chemical Biology (ICB) has been awarded an Engineering and Physical Sciences Research Council (EPSRC) Centre for Doctoral Training (CDT) in Chemical Biology:</w:t>
            </w:r>
            <w:r>
              <w:rPr>
                <w:szCs w:val="20"/>
              </w:rPr>
              <w:t xml:space="preserve"> Empowering UK </w:t>
            </w:r>
            <w:proofErr w:type="spellStart"/>
            <w:r>
              <w:rPr>
                <w:szCs w:val="20"/>
              </w:rPr>
              <w:t>BioTech</w:t>
            </w:r>
            <w:proofErr w:type="spellEnd"/>
            <w:r>
              <w:rPr>
                <w:szCs w:val="20"/>
              </w:rPr>
              <w:t xml:space="preserve"> Innovation.</w:t>
            </w:r>
          </w:p>
          <w:p w14:paraId="2D375A39" w14:textId="77777777" w:rsidR="007C6BCC" w:rsidRDefault="007C6BCC" w:rsidP="00C81EBB">
            <w:pPr>
              <w:jc w:val="both"/>
              <w:rPr>
                <w:szCs w:val="20"/>
              </w:rPr>
            </w:pPr>
          </w:p>
          <w:p w14:paraId="0F5BDBE9" w14:textId="54F86586" w:rsidR="005759B0" w:rsidRDefault="00835483" w:rsidP="00C81EBB">
            <w:pPr>
              <w:jc w:val="both"/>
            </w:pPr>
            <w:r>
              <w:rPr>
                <w:szCs w:val="20"/>
              </w:rPr>
              <w:t>One of the</w:t>
            </w:r>
            <w:r w:rsidRPr="003B552D">
              <w:rPr>
                <w:szCs w:val="20"/>
              </w:rPr>
              <w:t xml:space="preserve"> </w:t>
            </w:r>
            <w:r>
              <w:rPr>
                <w:szCs w:val="20"/>
              </w:rPr>
              <w:t>aims of the ICB</w:t>
            </w:r>
            <w:r w:rsidR="00E93F6D">
              <w:rPr>
                <w:szCs w:val="20"/>
              </w:rPr>
              <w:t xml:space="preserve"> CDT</w:t>
            </w:r>
            <w:r w:rsidRPr="003B552D">
              <w:rPr>
                <w:szCs w:val="20"/>
              </w:rPr>
              <w:t xml:space="preserve"> </w:t>
            </w:r>
            <w:r>
              <w:rPr>
                <w:szCs w:val="20"/>
              </w:rPr>
              <w:t>is to train a</w:t>
            </w:r>
            <w:r w:rsidRPr="003B552D">
              <w:rPr>
                <w:szCs w:val="20"/>
              </w:rPr>
              <w:t xml:space="preserve"> new generation of PhD graduates </w:t>
            </w:r>
            <w:r w:rsidRPr="00C555A3">
              <w:t xml:space="preserve">in the art of multidisciplinary Chemical Biology research, </w:t>
            </w:r>
            <w:r>
              <w:t xml:space="preserve">giving them the opportunity to develop the next generation of molecular tools and technologies to tackle challenges in biological systems. </w:t>
            </w:r>
            <w:r w:rsidR="003E46F8">
              <w:t xml:space="preserve">We define </w:t>
            </w:r>
            <w:r w:rsidR="0063225B">
              <w:t>“</w:t>
            </w:r>
            <w:r w:rsidR="003E46F8">
              <w:t>chemical biology</w:t>
            </w:r>
            <w:r w:rsidR="0063225B">
              <w:t>”</w:t>
            </w:r>
            <w:r w:rsidR="003E46F8">
              <w:t xml:space="preserve"> in its broadest term </w:t>
            </w:r>
            <w:r w:rsidR="002C2AD1">
              <w:t>–</w:t>
            </w:r>
            <w:r w:rsidR="003E46F8">
              <w:t xml:space="preserve"> </w:t>
            </w:r>
            <w:r w:rsidR="002C2AD1">
              <w:t xml:space="preserve">namely </w:t>
            </w:r>
            <w:r w:rsidR="00C65623">
              <w:t>physical science innovation (</w:t>
            </w:r>
            <w:r w:rsidR="00CD6EF4">
              <w:t>using</w:t>
            </w:r>
            <w:r w:rsidR="00C65623">
              <w:t xml:space="preserve"> expertise </w:t>
            </w:r>
            <w:r w:rsidR="00C65623" w:rsidRPr="009211CD">
              <w:t xml:space="preserve">from </w:t>
            </w:r>
            <w:r w:rsidR="00C65623" w:rsidRPr="00C81EBB">
              <w:rPr>
                <w:lang w:val="en-US"/>
              </w:rPr>
              <w:t>e.g. chemistry, physics, mathematics, engineering)</w:t>
            </w:r>
            <w:r w:rsidR="00F57AF0" w:rsidRPr="00C81EBB">
              <w:rPr>
                <w:lang w:val="en-US"/>
              </w:rPr>
              <w:t xml:space="preserve"> to develop </w:t>
            </w:r>
            <w:r w:rsidR="0063225B">
              <w:rPr>
                <w:lang w:val="en-US"/>
              </w:rPr>
              <w:t xml:space="preserve">a </w:t>
            </w:r>
            <w:r w:rsidR="00F57AF0" w:rsidRPr="00C81EBB">
              <w:rPr>
                <w:lang w:val="en-US"/>
              </w:rPr>
              <w:t>novel tool</w:t>
            </w:r>
            <w:r w:rsidR="009211CD" w:rsidRPr="00C81EBB">
              <w:rPr>
                <w:lang w:val="en-US"/>
              </w:rPr>
              <w:t xml:space="preserve"> </w:t>
            </w:r>
            <w:r w:rsidR="0063225B">
              <w:rPr>
                <w:lang w:val="en-US"/>
              </w:rPr>
              <w:t>or</w:t>
            </w:r>
            <w:r w:rsidR="009211CD" w:rsidRPr="00C81EBB">
              <w:rPr>
                <w:lang w:val="en-US"/>
              </w:rPr>
              <w:t xml:space="preserve"> technolo</w:t>
            </w:r>
            <w:r w:rsidR="0063225B">
              <w:rPr>
                <w:lang w:val="en-US"/>
              </w:rPr>
              <w:t>gy</w:t>
            </w:r>
            <w:r w:rsidR="009211CD" w:rsidRPr="00C81EBB">
              <w:rPr>
                <w:lang w:val="en-US"/>
              </w:rPr>
              <w:t xml:space="preserve"> to tackle challenges in the biological/life sciences</w:t>
            </w:r>
            <w:r w:rsidR="00F57AF0" w:rsidRPr="00C81EBB">
              <w:rPr>
                <w:lang w:val="en-US"/>
              </w:rPr>
              <w:t>.</w:t>
            </w:r>
          </w:p>
          <w:p w14:paraId="49BD5F07" w14:textId="77777777" w:rsidR="00835483" w:rsidRDefault="00835483" w:rsidP="00C81EBB">
            <w:pPr>
              <w:jc w:val="both"/>
            </w:pPr>
          </w:p>
          <w:p w14:paraId="00F35920" w14:textId="10C15653" w:rsidR="00835483" w:rsidRDefault="00835483" w:rsidP="00C81EBB">
            <w:pPr>
              <w:jc w:val="both"/>
            </w:pPr>
            <w:r>
              <w:t>Students will merge the development of these molecular tools and technologies with Lab of the Future platforms, by dovetailing them with industry 4.0 breakthroughs in e.g. robotics, artificial intelligence and machine learning which will revolutionise the state of the art for making, measuring, modelling and manipulating molecular interactions in biological systems, leading to novel R&amp;D workflows. These will unlock rapid design-test cycles with the advances and biological insight generated being exploitable in</w:t>
            </w:r>
            <w:r w:rsidR="001C5CC1">
              <w:t xml:space="preserve"> </w:t>
            </w:r>
            <w:r w:rsidR="00B016B6">
              <w:t>biological/</w:t>
            </w:r>
            <w:r w:rsidR="001C5CC1">
              <w:t>clinical/</w:t>
            </w:r>
            <w:r>
              <w:t xml:space="preserve">industrial applications as well as tackling societal challenges. </w:t>
            </w:r>
          </w:p>
          <w:p w14:paraId="732CA589" w14:textId="77777777" w:rsidR="00835483" w:rsidRDefault="00835483" w:rsidP="00C81EBB">
            <w:pPr>
              <w:jc w:val="both"/>
            </w:pPr>
          </w:p>
          <w:p w14:paraId="6D2A5F11" w14:textId="2632D492" w:rsidR="00835483" w:rsidRDefault="00B95283" w:rsidP="00C81EBB">
            <w:pPr>
              <w:jc w:val="both"/>
            </w:pPr>
            <w:r>
              <w:t>To</w:t>
            </w:r>
            <w:r w:rsidR="00835483">
              <w:t xml:space="preserve"> support this vision, students will benefit from bespoke training that will enable them to work seamlessly across the physical-life sciences and human-machine interfaces. This is a skill set that is in great demand from industry and addresses the future needs of employers in the pharmaceutical, biomedical, healthcare, personal care, biotech, </w:t>
            </w:r>
            <w:proofErr w:type="spellStart"/>
            <w:r w:rsidR="00835483">
              <w:t>agri</w:t>
            </w:r>
            <w:proofErr w:type="spellEnd"/>
            <w:r w:rsidR="00835483">
              <w:t xml:space="preserve">-science and SME sectors. </w:t>
            </w:r>
          </w:p>
          <w:p w14:paraId="16FE9254" w14:textId="77777777" w:rsidR="00835483" w:rsidRDefault="00835483" w:rsidP="00C81EBB">
            <w:pPr>
              <w:jc w:val="both"/>
            </w:pPr>
          </w:p>
          <w:p w14:paraId="021A5DCF" w14:textId="15EE5804" w:rsidR="00892564" w:rsidRPr="00892564" w:rsidRDefault="00835483" w:rsidP="00C81EBB">
            <w:pPr>
              <w:jc w:val="both"/>
            </w:pPr>
            <w:r>
              <w:rPr>
                <w:szCs w:val="20"/>
              </w:rPr>
              <w:t>In addition,</w:t>
            </w:r>
            <w:r w:rsidRPr="003B552D">
              <w:rPr>
                <w:szCs w:val="20"/>
              </w:rPr>
              <w:t xml:space="preserve"> students will be armed with an in-depth understanding of product development pipelines across a variety of sectors, acquired through first-hand experience of multi-disciplinary translational research and early-stage commercialisation. This will enable them to become leaders of technology innovation and translation in the </w:t>
            </w:r>
            <w:r>
              <w:rPr>
                <w:szCs w:val="20"/>
              </w:rPr>
              <w:t xml:space="preserve">medical, pharma, </w:t>
            </w:r>
            <w:r w:rsidRPr="003B552D">
              <w:rPr>
                <w:szCs w:val="20"/>
              </w:rPr>
              <w:t xml:space="preserve">life science, personal care and </w:t>
            </w:r>
            <w:proofErr w:type="spellStart"/>
            <w:r w:rsidRPr="003B552D">
              <w:rPr>
                <w:szCs w:val="20"/>
              </w:rPr>
              <w:t>agri</w:t>
            </w:r>
            <w:proofErr w:type="spellEnd"/>
            <w:r w:rsidRPr="003B552D">
              <w:rPr>
                <w:szCs w:val="20"/>
              </w:rPr>
              <w:t>-science industries</w:t>
            </w:r>
            <w:r w:rsidR="00885AA7" w:rsidRPr="003B552D">
              <w:rPr>
                <w:szCs w:val="20"/>
              </w:rPr>
              <w:t>.</w:t>
            </w:r>
            <w:r w:rsidR="00AB6A12">
              <w:rPr>
                <w:szCs w:val="20"/>
              </w:rPr>
              <w:t xml:space="preserve"> </w:t>
            </w:r>
          </w:p>
        </w:tc>
      </w:tr>
    </w:tbl>
    <w:p w14:paraId="5EC64622" w14:textId="51738EB1" w:rsidR="0009398B" w:rsidRDefault="0009398B" w:rsidP="0009398B">
      <w:pPr>
        <w:rPr>
          <w:sz w:val="16"/>
          <w:szCs w:val="16"/>
        </w:rPr>
      </w:pPr>
    </w:p>
    <w:tbl>
      <w:tblPr>
        <w:tblW w:w="10888" w:type="dxa"/>
        <w:tblBorders>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10888"/>
      </w:tblGrid>
      <w:tr w:rsidR="00DF2CED" w:rsidRPr="00762493" w14:paraId="1D34799E" w14:textId="77777777" w:rsidTr="00583020">
        <w:trPr>
          <w:trHeight w:val="432"/>
          <w:tblHeader/>
        </w:trPr>
        <w:tc>
          <w:tcPr>
            <w:tcW w:w="10888" w:type="dxa"/>
            <w:tcBorders>
              <w:top w:val="nil"/>
              <w:bottom w:val="single" w:sz="4" w:space="0" w:color="auto"/>
              <w:right w:val="nil"/>
            </w:tcBorders>
            <w:shd w:val="clear" w:color="auto" w:fill="404040" w:themeFill="text1" w:themeFillTint="BF"/>
            <w:vAlign w:val="bottom"/>
          </w:tcPr>
          <w:p w14:paraId="3AA669C5" w14:textId="77777777" w:rsidR="00DF2CED" w:rsidRPr="00762493" w:rsidRDefault="00DF2CED" w:rsidP="00583020">
            <w:pPr>
              <w:pStyle w:val="Heading3"/>
              <w:rPr>
                <w:color w:val="FFFFFF" w:themeColor="background1"/>
                <w:sz w:val="20"/>
                <w:szCs w:val="20"/>
              </w:rPr>
            </w:pPr>
            <w:r>
              <w:rPr>
                <w:color w:val="FFFFFF" w:themeColor="background1"/>
                <w:sz w:val="20"/>
                <w:szCs w:val="20"/>
              </w:rPr>
              <w:t>CRUK CSC</w:t>
            </w:r>
            <w:r w:rsidRPr="00762493">
              <w:rPr>
                <w:color w:val="FFFFFF" w:themeColor="background1"/>
                <w:sz w:val="20"/>
                <w:szCs w:val="20"/>
              </w:rPr>
              <w:t xml:space="preserve"> </w:t>
            </w:r>
            <w:r>
              <w:rPr>
                <w:color w:val="FFFFFF" w:themeColor="background1"/>
                <w:sz w:val="20"/>
                <w:szCs w:val="20"/>
              </w:rPr>
              <w:t>OVERVIEW</w:t>
            </w:r>
          </w:p>
        </w:tc>
      </w:tr>
      <w:tr w:rsidR="00DF2CED" w:rsidRPr="00892564" w14:paraId="07F9A96F" w14:textId="77777777" w:rsidTr="00583020">
        <w:trPr>
          <w:trHeight w:val="2203"/>
        </w:trPr>
        <w:tc>
          <w:tcPr>
            <w:tcW w:w="10888" w:type="dxa"/>
            <w:tcBorders>
              <w:top w:val="single" w:sz="4" w:space="0" w:color="auto"/>
            </w:tcBorders>
            <w:shd w:val="clear" w:color="auto" w:fill="auto"/>
          </w:tcPr>
          <w:p w14:paraId="012A6E15" w14:textId="77777777" w:rsidR="00DF2CED" w:rsidRDefault="00DF2CED" w:rsidP="00C81EBB">
            <w:pPr>
              <w:jc w:val="both"/>
            </w:pPr>
            <w:r>
              <w:t>The Cancer Research UK (CRUK) Convergence Science Centre (CSC) was established as a strategic partnership between the Institute of Cancer Research (ICR) and Imperial College London. Its mission is to bring together engineering, natural sciences, physical sciences, life sciences and medicine to develop innovative ways to address challenges in cancer research to benefit patients. This is achieved through multidisciplinary collaborations that integrate otherwise distinct approaches to co-create new tools, technologies and methodologies. The bringing together of two of the UK’s leading academic research institutions create a unique opportunity to train the next generation of convergence scientists in cancer research.</w:t>
            </w:r>
          </w:p>
          <w:p w14:paraId="53CDBA46" w14:textId="77777777" w:rsidR="00DF2CED" w:rsidRDefault="00DF2CED" w:rsidP="00C81EBB">
            <w:pPr>
              <w:jc w:val="both"/>
            </w:pPr>
          </w:p>
          <w:p w14:paraId="166FF470" w14:textId="77777777" w:rsidR="00DF2CED" w:rsidRDefault="00DF2CED" w:rsidP="00C81EBB">
            <w:pPr>
              <w:jc w:val="both"/>
            </w:pPr>
            <w:r>
              <w:t>The training Programme, which forms the heart of the CSC aims to brings together cross-institutional research teams with supervisors from distinct disciplines to equip our students with cutting-edge convergence research skills and remove disciplinary language barriers that would normally restrict progress.</w:t>
            </w:r>
          </w:p>
          <w:p w14:paraId="600125EE" w14:textId="77777777" w:rsidR="00DF2CED" w:rsidRDefault="00DF2CED" w:rsidP="00C81EBB">
            <w:pPr>
              <w:jc w:val="both"/>
            </w:pPr>
          </w:p>
          <w:p w14:paraId="271912F9" w14:textId="7E6AEF21" w:rsidR="00DF2CED" w:rsidRPr="00892564" w:rsidRDefault="00DF2CED" w:rsidP="00C81EBB">
            <w:pPr>
              <w:jc w:val="both"/>
            </w:pPr>
            <w:r>
              <w:t xml:space="preserve">The aim of the CSC is to train students in the art of convergence research, giving them the exciting opportunity to develop innovative ways to address the toughest issues in cancer. The overarching goal is to bring several expertise together to help people affected by cancer. </w:t>
            </w:r>
            <w:r w:rsidR="007939B6">
              <w:t>Students</w:t>
            </w:r>
            <w:r>
              <w:t xml:space="preserve"> will gain skills, knowledge and training to drive new innovations in clinical care and research and become a future cancer research leader.</w:t>
            </w:r>
          </w:p>
        </w:tc>
      </w:tr>
    </w:tbl>
    <w:p w14:paraId="593604D3" w14:textId="77777777" w:rsidR="00EB0C79" w:rsidRPr="00EB0C79" w:rsidRDefault="00EB0C79" w:rsidP="0009398B">
      <w:pPr>
        <w:rPr>
          <w:sz w:val="16"/>
          <w:szCs w:val="16"/>
        </w:rPr>
      </w:pPr>
    </w:p>
    <w:tbl>
      <w:tblPr>
        <w:tblW w:w="10888" w:type="dxa"/>
        <w:tblBorders>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10888"/>
      </w:tblGrid>
      <w:tr w:rsidR="006F6AD6" w:rsidRPr="00E80F4B" w14:paraId="1FA68C10" w14:textId="77777777" w:rsidTr="006F0090">
        <w:trPr>
          <w:trHeight w:val="432"/>
          <w:tblHeader/>
        </w:trPr>
        <w:tc>
          <w:tcPr>
            <w:tcW w:w="10888" w:type="dxa"/>
            <w:tcBorders>
              <w:top w:val="nil"/>
              <w:bottom w:val="nil"/>
              <w:right w:val="nil"/>
            </w:tcBorders>
            <w:shd w:val="clear" w:color="auto" w:fill="404040" w:themeFill="text1" w:themeFillTint="BF"/>
          </w:tcPr>
          <w:p w14:paraId="777D5EB0" w14:textId="77777777" w:rsidR="006F6AD6" w:rsidRPr="00762493" w:rsidRDefault="006F6AD6" w:rsidP="006F6AD6">
            <w:pPr>
              <w:pStyle w:val="Heading3"/>
              <w:rPr>
                <w:rFonts w:asciiTheme="minorHAnsi" w:hAnsiTheme="minorHAnsi"/>
                <w:sz w:val="20"/>
                <w:szCs w:val="20"/>
              </w:rPr>
            </w:pPr>
            <w:bookmarkStart w:id="1" w:name="_Toc376529144"/>
            <w:r w:rsidRPr="00762493">
              <w:rPr>
                <w:color w:val="FFFFFF" w:themeColor="background1"/>
                <w:sz w:val="20"/>
                <w:szCs w:val="20"/>
              </w:rPr>
              <w:t xml:space="preserve">THE </w:t>
            </w:r>
            <w:r w:rsidR="00C80C03" w:rsidRPr="00762493">
              <w:rPr>
                <w:color w:val="FFFFFF" w:themeColor="background1"/>
                <w:sz w:val="20"/>
                <w:szCs w:val="20"/>
              </w:rPr>
              <w:t xml:space="preserve">RESEARCH </w:t>
            </w:r>
            <w:r w:rsidRPr="00762493">
              <w:rPr>
                <w:color w:val="FFFFFF" w:themeColor="background1"/>
                <w:sz w:val="20"/>
                <w:szCs w:val="20"/>
              </w:rPr>
              <w:t>THEME</w:t>
            </w:r>
            <w:bookmarkEnd w:id="1"/>
          </w:p>
        </w:tc>
      </w:tr>
      <w:tr w:rsidR="00892564" w:rsidRPr="00E80F4B" w14:paraId="7138E03E" w14:textId="77777777" w:rsidTr="00EB0C79">
        <w:trPr>
          <w:trHeight w:val="901"/>
        </w:trPr>
        <w:tc>
          <w:tcPr>
            <w:tcW w:w="10888" w:type="dxa"/>
            <w:tcBorders>
              <w:top w:val="single" w:sz="4" w:space="0" w:color="auto"/>
            </w:tcBorders>
            <w:shd w:val="clear" w:color="auto" w:fill="auto"/>
          </w:tcPr>
          <w:p w14:paraId="78A7A3DF" w14:textId="77777777" w:rsidR="00727936" w:rsidRPr="00723933" w:rsidRDefault="00727936" w:rsidP="00C81EBB">
            <w:pPr>
              <w:jc w:val="both"/>
              <w:rPr>
                <w:b/>
                <w:szCs w:val="20"/>
              </w:rPr>
            </w:pPr>
            <w:r w:rsidRPr="00575948">
              <w:rPr>
                <w:b/>
                <w:szCs w:val="20"/>
              </w:rPr>
              <w:t>Background to the ICB:</w:t>
            </w:r>
            <w:r>
              <w:rPr>
                <w:b/>
                <w:szCs w:val="20"/>
              </w:rPr>
              <w:t xml:space="preserve"> </w:t>
            </w:r>
            <w:r w:rsidRPr="00EC5A35">
              <w:rPr>
                <w:rFonts w:cs="Arial"/>
                <w:b/>
                <w:bCs/>
                <w:color w:val="000000"/>
              </w:rPr>
              <w:t xml:space="preserve">Chemical Biology </w:t>
            </w:r>
            <w:r w:rsidRPr="00EC5A35">
              <w:rPr>
                <w:rFonts w:cs="Arial"/>
                <w:color w:val="000000"/>
              </w:rPr>
              <w:t>is the development and application of molecular tools and techniques for biological and biomedical understanding, and industrial/clinical benefit.</w:t>
            </w:r>
            <w:r>
              <w:rPr>
                <w:rFonts w:cs="Arial"/>
                <w:color w:val="000000"/>
              </w:rPr>
              <w:t xml:space="preserve"> It </w:t>
            </w:r>
            <w:r w:rsidRPr="00D672A9">
              <w:rPr>
                <w:rFonts w:cs="Arial"/>
                <w:color w:val="000000"/>
              </w:rPr>
              <w:t xml:space="preserve">is critical to supporting the development and translation of the next generation of molecular tools and </w:t>
            </w:r>
            <w:r w:rsidRPr="00EE0F25">
              <w:rPr>
                <w:rFonts w:cs="Arial"/>
                <w:color w:val="000000"/>
              </w:rPr>
              <w:t>technologies for making, measuring, modelling and manipulating molecular interactions in biological systems across multiple length scales.</w:t>
            </w:r>
            <w:r w:rsidRPr="00EC5A35">
              <w:rPr>
                <w:rFonts w:cs="Arial"/>
                <w:color w:val="000000"/>
              </w:rPr>
              <w:t xml:space="preserve"> These include protein-nucleic acid, lipid-drug, lipid- nucleic acid &amp; protein-protein interactions. Despite their importance as biological intervention targets, their exploitation is hampered by</w:t>
            </w:r>
            <w:r w:rsidRPr="00D672A9">
              <w:rPr>
                <w:rFonts w:cs="Arial"/>
                <w:color w:val="000000"/>
              </w:rPr>
              <w:t xml:space="preserve"> many factors</w:t>
            </w:r>
            <w:r>
              <w:rPr>
                <w:rFonts w:cs="Arial"/>
                <w:color w:val="000000"/>
              </w:rPr>
              <w:t xml:space="preserve"> which are being tackled by the ICB community</w:t>
            </w:r>
            <w:r w:rsidRPr="00EC5A35">
              <w:rPr>
                <w:rFonts w:cs="Arial"/>
                <w:color w:val="000000"/>
              </w:rPr>
              <w:t xml:space="preserve"> e.g. (i) large contact surface areas, (ii) lack of identifiable binding pockets, (iii) low binding partner concentrations, (iv) multiple interaction times &amp; </w:t>
            </w:r>
            <w:r w:rsidRPr="00EC5A35">
              <w:rPr>
                <w:rFonts w:cs="Arial"/>
                <w:color w:val="000000"/>
              </w:rPr>
              <w:lastRenderedPageBreak/>
              <w:t xml:space="preserve">length-scales and (v) limited understanding of how interactions generate higher order functions. The development of </w:t>
            </w:r>
            <w:r w:rsidRPr="00EC5A35">
              <w:rPr>
                <w:rFonts w:cs="Arial"/>
                <w:i/>
                <w:iCs/>
                <w:color w:val="000000"/>
              </w:rPr>
              <w:t xml:space="preserve">quantitative </w:t>
            </w:r>
            <w:r w:rsidRPr="00EC5A35">
              <w:rPr>
                <w:rFonts w:cs="Arial"/>
                <w:color w:val="000000"/>
              </w:rPr>
              <w:t xml:space="preserve">molecular technologies coupled with automation and robotics able to address these bottlenecks is vital to generating the </w:t>
            </w:r>
            <w:r w:rsidRPr="00EC5A35">
              <w:rPr>
                <w:rFonts w:cs="Arial"/>
                <w:i/>
                <w:iCs/>
                <w:color w:val="000000"/>
              </w:rPr>
              <w:t xml:space="preserve">quantity, quality and type of curated datasets </w:t>
            </w:r>
            <w:r w:rsidRPr="00EC5A35">
              <w:rPr>
                <w:rFonts w:cs="Arial"/>
                <w:color w:val="000000"/>
              </w:rPr>
              <w:t xml:space="preserve">needed for predictive modelling, exploitation by AI/ML approaches and industrial, commercial and medical deployment. From enabling biomedical research by unlocking mechanisms of disease, to stimulating agrochemical design, chemical biology is pivotal in reducing product and healthcare costs. </w:t>
            </w:r>
          </w:p>
          <w:p w14:paraId="52468D88" w14:textId="77777777" w:rsidR="00727936" w:rsidRDefault="00727936" w:rsidP="00727936">
            <w:pPr>
              <w:rPr>
                <w:b/>
                <w:szCs w:val="20"/>
              </w:rPr>
            </w:pPr>
          </w:p>
          <w:p w14:paraId="77B08D6B" w14:textId="77777777" w:rsidR="00727936" w:rsidRDefault="00727936" w:rsidP="00727936">
            <w:pPr>
              <w:jc w:val="both"/>
              <w:rPr>
                <w:rFonts w:cs="Arial"/>
              </w:rPr>
            </w:pPr>
            <w:r>
              <w:rPr>
                <w:b/>
                <w:bCs/>
                <w:szCs w:val="20"/>
              </w:rPr>
              <w:t xml:space="preserve">Importance of Lab of the Future Platforms: </w:t>
            </w:r>
            <w:r>
              <w:rPr>
                <w:szCs w:val="20"/>
              </w:rPr>
              <w:t>These will revolutionise the life sciences with technology development and rapidly accelerating research blurring the lines between disciplines and between man and machine.</w:t>
            </w:r>
            <w:r w:rsidRPr="004D0A85">
              <w:rPr>
                <w:rFonts w:cs="Arial"/>
                <w:color w:val="000000"/>
              </w:rPr>
              <w:t xml:space="preserve"> </w:t>
            </w:r>
            <w:r w:rsidRPr="004D0A85">
              <w:rPr>
                <w:rFonts w:cs="Arial"/>
              </w:rPr>
              <w:t>D</w:t>
            </w:r>
            <w:r w:rsidRPr="004D0A85">
              <w:rPr>
                <w:rFonts w:cs="Arial"/>
                <w:color w:val="000000"/>
              </w:rPr>
              <w:t xml:space="preserve">evelopments in </w:t>
            </w:r>
            <w:r>
              <w:rPr>
                <w:rFonts w:cs="Arial"/>
                <w:color w:val="000000"/>
              </w:rPr>
              <w:t>r</w:t>
            </w:r>
            <w:r w:rsidRPr="004D0A85">
              <w:rPr>
                <w:rFonts w:cs="Arial"/>
                <w:color w:val="000000"/>
              </w:rPr>
              <w:t>obotics are driving the integrated control of lab hardware</w:t>
            </w:r>
            <w:r>
              <w:rPr>
                <w:rFonts w:cs="Arial"/>
                <w:color w:val="000000"/>
              </w:rPr>
              <w:t>,</w:t>
            </w:r>
            <w:r w:rsidRPr="004D0A85">
              <w:rPr>
                <w:rFonts w:cs="Arial"/>
                <w:color w:val="000000"/>
              </w:rPr>
              <w:t xml:space="preserve"> </w:t>
            </w:r>
            <w:r>
              <w:rPr>
                <w:rFonts w:cs="Arial"/>
                <w:color w:val="000000"/>
              </w:rPr>
              <w:t>enabling</w:t>
            </w:r>
            <w:r w:rsidRPr="004D0A85">
              <w:rPr>
                <w:rFonts w:cs="Arial"/>
                <w:color w:val="000000"/>
              </w:rPr>
              <w:t xml:space="preserve"> R&amp;D workflow</w:t>
            </w:r>
            <w:r>
              <w:rPr>
                <w:rFonts w:cs="Arial"/>
                <w:color w:val="000000"/>
              </w:rPr>
              <w:t xml:space="preserve"> </w:t>
            </w:r>
            <w:r w:rsidRPr="004D0A85">
              <w:rPr>
                <w:rFonts w:cs="Arial"/>
                <w:color w:val="000000"/>
              </w:rPr>
              <w:t>a</w:t>
            </w:r>
            <w:r w:rsidRPr="004D0A85">
              <w:rPr>
                <w:rFonts w:cs="Arial"/>
              </w:rPr>
              <w:t>utomat</w:t>
            </w:r>
            <w:r>
              <w:rPr>
                <w:rFonts w:cs="Arial"/>
              </w:rPr>
              <w:t>ion</w:t>
            </w:r>
            <w:r w:rsidRPr="004D0A85">
              <w:rPr>
                <w:rFonts w:cs="Arial"/>
                <w:color w:val="000000"/>
              </w:rPr>
              <w:t>. Rapid prototyp</w:t>
            </w:r>
            <w:r w:rsidRPr="004D0A85">
              <w:rPr>
                <w:rFonts w:cs="Arial"/>
              </w:rPr>
              <w:t>ing is</w:t>
            </w:r>
            <w:r w:rsidRPr="004D0A85">
              <w:rPr>
                <w:rFonts w:cs="Arial"/>
                <w:color w:val="000000"/>
              </w:rPr>
              <w:t xml:space="preserve"> reducing technology innovation </w:t>
            </w:r>
            <w:r w:rsidRPr="004D0A85">
              <w:rPr>
                <w:rFonts w:cs="Arial"/>
              </w:rPr>
              <w:t>cycles.</w:t>
            </w:r>
            <w:r w:rsidRPr="004D0A85">
              <w:rPr>
                <w:rFonts w:cs="Arial"/>
                <w:color w:val="000000"/>
              </w:rPr>
              <w:t xml:space="preserve">  </w:t>
            </w:r>
            <w:r>
              <w:rPr>
                <w:rFonts w:cs="Arial"/>
              </w:rPr>
              <w:t>B</w:t>
            </w:r>
            <w:r w:rsidRPr="004D0A85">
              <w:rPr>
                <w:rFonts w:cs="Arial"/>
              </w:rPr>
              <w:t xml:space="preserve">ig data </w:t>
            </w:r>
            <w:r w:rsidRPr="004D0A85">
              <w:rPr>
                <w:rFonts w:cs="Arial"/>
                <w:color w:val="000000"/>
              </w:rPr>
              <w:t xml:space="preserve">offers unprecedented opportunities for AI and machine learning. AI is </w:t>
            </w:r>
            <w:r w:rsidRPr="004D0A85">
              <w:rPr>
                <w:rFonts w:cs="Arial"/>
              </w:rPr>
              <w:t xml:space="preserve">stimulating </w:t>
            </w:r>
            <w:r w:rsidRPr="004D0A85">
              <w:rPr>
                <w:rFonts w:cs="Arial"/>
                <w:color w:val="000000"/>
              </w:rPr>
              <w:t xml:space="preserve">developments that can underpin smarter </w:t>
            </w:r>
            <w:proofErr w:type="gramStart"/>
            <w:r w:rsidRPr="004D0A85">
              <w:rPr>
                <w:rFonts w:cs="Arial"/>
                <w:color w:val="000000"/>
              </w:rPr>
              <w:t>high-throughput</w:t>
            </w:r>
            <w:proofErr w:type="gramEnd"/>
            <w:r w:rsidRPr="004D0A85">
              <w:rPr>
                <w:rFonts w:cs="Arial"/>
                <w:color w:val="000000"/>
              </w:rPr>
              <w:t xml:space="preserve"> approaches for data handling with the promise of offering creative insight. Coupled with the rise of machine learning it is now possible to promote knowledge driven systems design from</w:t>
            </w:r>
            <w:r>
              <w:rPr>
                <w:rFonts w:cs="Arial"/>
                <w:color w:val="000000"/>
              </w:rPr>
              <w:t xml:space="preserve"> </w:t>
            </w:r>
            <w:r w:rsidRPr="004D0A85">
              <w:rPr>
                <w:rFonts w:cs="Arial"/>
                <w:color w:val="000000"/>
              </w:rPr>
              <w:t>discovery data.</w:t>
            </w:r>
            <w:r>
              <w:t xml:space="preserve"> </w:t>
            </w:r>
            <w:r w:rsidRPr="004D0A85">
              <w:rPr>
                <w:rFonts w:cs="Arial"/>
                <w:color w:val="000000"/>
              </w:rPr>
              <w:t xml:space="preserve">Dovetailing these approaches with new molecular tools and technologies will lead to </w:t>
            </w:r>
            <w:r>
              <w:rPr>
                <w:rFonts w:cs="Arial"/>
                <w:color w:val="000000"/>
              </w:rPr>
              <w:t>game-changing</w:t>
            </w:r>
            <w:r w:rsidRPr="004D0A85">
              <w:rPr>
                <w:rFonts w:cs="Arial"/>
                <w:color w:val="000000"/>
              </w:rPr>
              <w:t xml:space="preserve"> rapid design-test cycles that speed up product develop</w:t>
            </w:r>
            <w:r>
              <w:rPr>
                <w:rFonts w:cs="Arial"/>
                <w:color w:val="000000"/>
              </w:rPr>
              <w:t>ment</w:t>
            </w:r>
            <w:r w:rsidRPr="004D0A85">
              <w:rPr>
                <w:rFonts w:cs="Arial"/>
              </w:rPr>
              <w:t>.</w:t>
            </w:r>
          </w:p>
          <w:p w14:paraId="4B2E3B1B" w14:textId="77777777" w:rsidR="00727936" w:rsidRDefault="00727936" w:rsidP="00727936">
            <w:pPr>
              <w:jc w:val="both"/>
              <w:rPr>
                <w:rFonts w:cs="Arial"/>
                <w:color w:val="000000"/>
              </w:rPr>
            </w:pPr>
          </w:p>
          <w:p w14:paraId="479E50C0" w14:textId="77777777" w:rsidR="00727936" w:rsidRDefault="00727936" w:rsidP="00C81EBB">
            <w:pPr>
              <w:jc w:val="both"/>
              <w:rPr>
                <w:rFonts w:cs="Arial"/>
                <w:b/>
              </w:rPr>
            </w:pPr>
            <w:r>
              <w:rPr>
                <w:rFonts w:cs="Arial"/>
                <w:b/>
                <w:color w:val="000000"/>
              </w:rPr>
              <w:t>To support this landscape t</w:t>
            </w:r>
            <w:r w:rsidRPr="00D672A9">
              <w:rPr>
                <w:rFonts w:cs="Arial"/>
                <w:b/>
                <w:color w:val="000000"/>
              </w:rPr>
              <w:t xml:space="preserve">he Scientific Vision of the </w:t>
            </w:r>
            <w:r>
              <w:rPr>
                <w:rFonts w:cs="Arial"/>
                <w:b/>
                <w:color w:val="000000"/>
              </w:rPr>
              <w:t xml:space="preserve">ICB </w:t>
            </w:r>
            <w:r w:rsidRPr="00D672A9">
              <w:rPr>
                <w:rFonts w:cs="Arial"/>
                <w:b/>
                <w:color w:val="000000"/>
              </w:rPr>
              <w:t xml:space="preserve">encompasses </w:t>
            </w:r>
            <w:r>
              <w:rPr>
                <w:rFonts w:cs="Arial"/>
                <w:b/>
                <w:color w:val="000000"/>
              </w:rPr>
              <w:t>four</w:t>
            </w:r>
            <w:r w:rsidRPr="00DD6C79">
              <w:rPr>
                <w:rFonts w:cs="Arial"/>
                <w:b/>
                <w:color w:val="000000"/>
              </w:rPr>
              <w:t xml:space="preserve"> aims</w:t>
            </w:r>
            <w:r w:rsidRPr="00D672A9">
              <w:rPr>
                <w:rFonts w:cs="Arial"/>
                <w:b/>
              </w:rPr>
              <w:t>:</w:t>
            </w:r>
          </w:p>
          <w:p w14:paraId="2B2338DF" w14:textId="273E15B0" w:rsidR="007A4D51" w:rsidRDefault="007A4D51" w:rsidP="00C81EBB">
            <w:pPr>
              <w:jc w:val="both"/>
            </w:pPr>
            <w:r>
              <w:rPr>
                <w:rFonts w:cs="Arial"/>
                <w:b/>
                <w:color w:val="000000"/>
              </w:rPr>
              <w:t>1</w:t>
            </w:r>
            <w:r w:rsidRPr="00DD6C79">
              <w:rPr>
                <w:rFonts w:cs="Arial"/>
                <w:b/>
                <w:color w:val="000000"/>
              </w:rPr>
              <w:t>.</w:t>
            </w:r>
            <w:r w:rsidRPr="00DA0465">
              <w:rPr>
                <w:rFonts w:cs="Arial"/>
                <w:color w:val="000000"/>
              </w:rPr>
              <w:t xml:space="preserve"> </w:t>
            </w:r>
            <w:r w:rsidR="00DE1ABE">
              <w:rPr>
                <w:rFonts w:cs="Arial"/>
                <w:color w:val="000000"/>
              </w:rPr>
              <w:t>To d</w:t>
            </w:r>
            <w:r w:rsidRPr="00DA0465">
              <w:rPr>
                <w:rFonts w:cs="Arial"/>
                <w:color w:val="000000"/>
              </w:rPr>
              <w:t xml:space="preserve">evelop and validate novel tools and technologies for the study of molecular interactions and their applications to strategic biological/biomedical problems and industry priority areas that cannot be undertaken with the current state-of the art. This will connect physical/mathematical sciences innovation push with life-science pull. </w:t>
            </w:r>
            <w:r>
              <w:t>This includes multi-scale modelling (e.g. graph theory) and experimental approaches (micro-physiological environments) for studying molecular interactions and biological systems</w:t>
            </w:r>
            <w:r w:rsidR="001F4AB8">
              <w:t>.</w:t>
            </w:r>
          </w:p>
          <w:p w14:paraId="0149948A" w14:textId="16D5C75F" w:rsidR="007A4D51" w:rsidRDefault="007A4D51" w:rsidP="00C81EBB">
            <w:pPr>
              <w:jc w:val="both"/>
              <w:rPr>
                <w:rFonts w:cs="Arial"/>
                <w:color w:val="000000"/>
              </w:rPr>
            </w:pPr>
            <w:r>
              <w:rPr>
                <w:rFonts w:cs="Arial"/>
                <w:b/>
                <w:color w:val="000000"/>
              </w:rPr>
              <w:t>2</w:t>
            </w:r>
            <w:r w:rsidRPr="00DD6C79">
              <w:rPr>
                <w:rFonts w:cs="Arial"/>
                <w:b/>
                <w:color w:val="000000"/>
              </w:rPr>
              <w:t>.</w:t>
            </w:r>
            <w:r w:rsidRPr="00DA0465">
              <w:rPr>
                <w:rFonts w:cs="Arial"/>
                <w:color w:val="000000"/>
              </w:rPr>
              <w:t xml:space="preserve"> </w:t>
            </w:r>
            <w:r w:rsidR="001F4AB8">
              <w:rPr>
                <w:rFonts w:cs="Arial"/>
                <w:color w:val="000000"/>
              </w:rPr>
              <w:t>To d</w:t>
            </w:r>
            <w:r w:rsidRPr="00DA0465">
              <w:rPr>
                <w:rFonts w:cs="Arial"/>
                <w:color w:val="000000"/>
              </w:rPr>
              <w:t xml:space="preserve">ovetail these technologies with </w:t>
            </w:r>
            <w:r>
              <w:rPr>
                <w:rFonts w:cs="Arial"/>
                <w:color w:val="000000"/>
              </w:rPr>
              <w:t>Lab of the Future platforms</w:t>
            </w:r>
            <w:r w:rsidRPr="00DA0465">
              <w:rPr>
                <w:rFonts w:cs="Arial"/>
                <w:color w:val="000000"/>
              </w:rPr>
              <w:t xml:space="preserve"> to maximise insights from molecular interaction studies</w:t>
            </w:r>
            <w:r w:rsidR="001F4AB8">
              <w:rPr>
                <w:rFonts w:cs="Arial"/>
                <w:color w:val="000000"/>
              </w:rPr>
              <w:t>.</w:t>
            </w:r>
          </w:p>
          <w:p w14:paraId="7ED41738" w14:textId="1BCE5CCF" w:rsidR="007A4D51" w:rsidRDefault="007A4D51" w:rsidP="00C81EBB">
            <w:pPr>
              <w:jc w:val="both"/>
              <w:rPr>
                <w:rFonts w:cs="Arial"/>
                <w:color w:val="000000"/>
              </w:rPr>
            </w:pPr>
            <w:r>
              <w:rPr>
                <w:rFonts w:cs="Arial"/>
                <w:b/>
                <w:color w:val="000000"/>
              </w:rPr>
              <w:t>3</w:t>
            </w:r>
            <w:r w:rsidRPr="00DD6C79">
              <w:rPr>
                <w:rFonts w:cs="Arial"/>
                <w:b/>
                <w:color w:val="000000"/>
              </w:rPr>
              <w:t>.</w:t>
            </w:r>
            <w:r w:rsidRPr="00DA0465">
              <w:rPr>
                <w:rFonts w:cs="Arial"/>
                <w:color w:val="000000"/>
              </w:rPr>
              <w:t xml:space="preserve"> </w:t>
            </w:r>
            <w:r w:rsidRPr="00DA0465">
              <w:rPr>
                <w:rFonts w:cs="Arial"/>
              </w:rPr>
              <w:t>T</w:t>
            </w:r>
            <w:r w:rsidR="001F4AB8">
              <w:rPr>
                <w:rFonts w:cs="Arial"/>
              </w:rPr>
              <w:t>o t</w:t>
            </w:r>
            <w:r w:rsidRPr="00DA0465">
              <w:rPr>
                <w:rFonts w:cs="Arial"/>
                <w:color w:val="000000"/>
              </w:rPr>
              <w:t>ranslate research advances for exploitation in industrial/medical applications</w:t>
            </w:r>
            <w:r w:rsidR="001F4AB8">
              <w:rPr>
                <w:rFonts w:cs="Arial"/>
                <w:color w:val="000000"/>
              </w:rPr>
              <w:t>.</w:t>
            </w:r>
          </w:p>
          <w:p w14:paraId="5357FAAF" w14:textId="01E7D82F" w:rsidR="00892564" w:rsidRPr="00F049C5" w:rsidRDefault="007A4D51" w:rsidP="00C81EBB">
            <w:pPr>
              <w:jc w:val="both"/>
              <w:rPr>
                <w:szCs w:val="20"/>
              </w:rPr>
            </w:pPr>
            <w:r>
              <w:rPr>
                <w:rFonts w:cs="Arial"/>
                <w:b/>
                <w:color w:val="000000"/>
              </w:rPr>
              <w:t>4</w:t>
            </w:r>
            <w:r w:rsidRPr="00DD6C79">
              <w:rPr>
                <w:rFonts w:cs="Arial"/>
                <w:b/>
                <w:color w:val="000000"/>
              </w:rPr>
              <w:t>.</w:t>
            </w:r>
            <w:r w:rsidRPr="00DA0465">
              <w:rPr>
                <w:rFonts w:cs="Arial"/>
              </w:rPr>
              <w:t xml:space="preserve"> </w:t>
            </w:r>
            <w:r w:rsidR="001F4AB8">
              <w:rPr>
                <w:rFonts w:cs="Arial"/>
              </w:rPr>
              <w:t>To e</w:t>
            </w:r>
            <w:r w:rsidRPr="00DA0465">
              <w:rPr>
                <w:rFonts w:cs="Arial"/>
                <w:color w:val="000000"/>
              </w:rPr>
              <w:t xml:space="preserve">xtend the capabilities of previous </w:t>
            </w:r>
            <w:r>
              <w:rPr>
                <w:rFonts w:cs="Arial"/>
                <w:color w:val="000000"/>
              </w:rPr>
              <w:t>ICB</w:t>
            </w:r>
            <w:r w:rsidR="00F049C5">
              <w:rPr>
                <w:rFonts w:cs="Arial"/>
                <w:color w:val="000000"/>
              </w:rPr>
              <w:t xml:space="preserve"> CDT</w:t>
            </w:r>
            <w:r w:rsidRPr="00DA0465">
              <w:rPr>
                <w:rFonts w:cs="Arial"/>
                <w:color w:val="000000"/>
              </w:rPr>
              <w:t>-technologies, so that these can be translated to end users in different sectors.</w:t>
            </w:r>
          </w:p>
        </w:tc>
      </w:tr>
    </w:tbl>
    <w:p w14:paraId="3FFB64B8" w14:textId="0863FB68" w:rsidR="008C1781" w:rsidRDefault="008C1781" w:rsidP="00694950">
      <w:pPr>
        <w:rPr>
          <w:sz w:val="16"/>
          <w:szCs w:val="16"/>
        </w:rPr>
      </w:pPr>
    </w:p>
    <w:tbl>
      <w:tblPr>
        <w:tblW w:w="10888" w:type="dxa"/>
        <w:tblBorders>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10888"/>
      </w:tblGrid>
      <w:tr w:rsidR="00BB1984" w:rsidRPr="00E80F4B" w14:paraId="590BA31B" w14:textId="77777777" w:rsidTr="00583020">
        <w:trPr>
          <w:trHeight w:val="432"/>
          <w:tblHeader/>
        </w:trPr>
        <w:tc>
          <w:tcPr>
            <w:tcW w:w="10888" w:type="dxa"/>
            <w:tcBorders>
              <w:top w:val="nil"/>
              <w:bottom w:val="nil"/>
              <w:right w:val="nil"/>
            </w:tcBorders>
            <w:shd w:val="clear" w:color="auto" w:fill="404040" w:themeFill="text1" w:themeFillTint="BF"/>
          </w:tcPr>
          <w:p w14:paraId="48B81508" w14:textId="77777777" w:rsidR="00BB1984" w:rsidRPr="00762493" w:rsidRDefault="00BB1984" w:rsidP="00583020">
            <w:pPr>
              <w:pStyle w:val="Heading3"/>
              <w:rPr>
                <w:rFonts w:cs="Times New Roman"/>
                <w:b w:val="0"/>
                <w:sz w:val="20"/>
                <w:szCs w:val="20"/>
              </w:rPr>
            </w:pPr>
            <w:r>
              <w:rPr>
                <w:color w:val="FFFFFF" w:themeColor="background1"/>
                <w:sz w:val="20"/>
                <w:szCs w:val="20"/>
              </w:rPr>
              <w:t>CRUK CSC Research Theme</w:t>
            </w:r>
          </w:p>
        </w:tc>
      </w:tr>
      <w:tr w:rsidR="00BB1984" w:rsidRPr="00E80F4B" w14:paraId="165173FF" w14:textId="77777777" w:rsidTr="00583020">
        <w:tc>
          <w:tcPr>
            <w:tcW w:w="10888" w:type="dxa"/>
            <w:tcBorders>
              <w:top w:val="nil"/>
            </w:tcBorders>
            <w:shd w:val="clear" w:color="auto" w:fill="auto"/>
          </w:tcPr>
          <w:p w14:paraId="2F7C152B" w14:textId="77777777" w:rsidR="0099607A" w:rsidRDefault="0099607A" w:rsidP="0099607A">
            <w:pPr>
              <w:rPr>
                <w:szCs w:val="20"/>
              </w:rPr>
            </w:pPr>
            <w:r w:rsidRPr="004B4676">
              <w:rPr>
                <w:szCs w:val="20"/>
              </w:rPr>
              <w:t>The C</w:t>
            </w:r>
            <w:r>
              <w:rPr>
                <w:szCs w:val="20"/>
              </w:rPr>
              <w:t>RUK CSC</w:t>
            </w:r>
            <w:r w:rsidRPr="004B4676">
              <w:rPr>
                <w:szCs w:val="20"/>
              </w:rPr>
              <w:t xml:space="preserve"> has two research themes: </w:t>
            </w:r>
            <w:r w:rsidRPr="008E40BB">
              <w:rPr>
                <w:szCs w:val="20"/>
              </w:rPr>
              <w:t>i) Convergence Discovery Research, aiming</w:t>
            </w:r>
            <w:r>
              <w:rPr>
                <w:szCs w:val="20"/>
              </w:rPr>
              <w:t xml:space="preserve"> </w:t>
            </w:r>
            <w:r w:rsidRPr="00F34E2B">
              <w:rPr>
                <w:szCs w:val="20"/>
              </w:rPr>
              <w:t>to identify cancer vulnerabilities through the integration of Discovery Research and clinical materials, and ii) Interventional Science, covering technological innovations in early detection and diagnosis, novel interventions and therapy monitoring.</w:t>
            </w:r>
          </w:p>
          <w:p w14:paraId="4644E917" w14:textId="77777777" w:rsidR="0099607A" w:rsidRDefault="0099607A" w:rsidP="0099607A">
            <w:pPr>
              <w:rPr>
                <w:szCs w:val="20"/>
              </w:rPr>
            </w:pPr>
          </w:p>
          <w:p w14:paraId="5CAEE25B" w14:textId="77777777" w:rsidR="0099607A" w:rsidRDefault="0099607A" w:rsidP="0099607A">
            <w:pPr>
              <w:rPr>
                <w:szCs w:val="20"/>
              </w:rPr>
            </w:pPr>
            <w:r w:rsidRPr="00BA4D09">
              <w:rPr>
                <w:szCs w:val="20"/>
              </w:rPr>
              <w:t xml:space="preserve">The primary focus of </w:t>
            </w:r>
            <w:r w:rsidRPr="00CC57E2">
              <w:rPr>
                <w:b/>
                <w:bCs/>
                <w:szCs w:val="20"/>
              </w:rPr>
              <w:t>Convergence Discovery Research theme</w:t>
            </w:r>
            <w:r w:rsidRPr="00BA4D09">
              <w:rPr>
                <w:szCs w:val="20"/>
              </w:rPr>
              <w:t xml:space="preserve"> is to support collaborative endeavours that develop new technologies to address currently intractable problems in cancer biology, and to translate </w:t>
            </w:r>
            <w:proofErr w:type="gramStart"/>
            <w:r w:rsidRPr="00BA4D09">
              <w:rPr>
                <w:szCs w:val="20"/>
              </w:rPr>
              <w:t>these innovation</w:t>
            </w:r>
            <w:proofErr w:type="gramEnd"/>
            <w:r w:rsidRPr="00BA4D09">
              <w:rPr>
                <w:szCs w:val="20"/>
              </w:rPr>
              <w:t xml:space="preserve"> to the clinic, whenever possible. Closely supported by our Clinical Development initiative, our Convergence Discovery Research theme aims to create a virtuous loop between Discovery and Clinical research (Iterative and reverse translation), allowing clinical trial materials (</w:t>
            </w:r>
            <w:proofErr w:type="spellStart"/>
            <w:r w:rsidRPr="00BA4D09">
              <w:rPr>
                <w:szCs w:val="20"/>
              </w:rPr>
              <w:t>e.g</w:t>
            </w:r>
            <w:proofErr w:type="spellEnd"/>
            <w:r w:rsidRPr="00BA4D09">
              <w:rPr>
                <w:szCs w:val="20"/>
              </w:rPr>
              <w:t>, trial data, liquid and solid biopsies) to drive Discovery Research to, in return, inform and guide future clinical trials.</w:t>
            </w:r>
            <w:r>
              <w:rPr>
                <w:szCs w:val="20"/>
              </w:rPr>
              <w:t xml:space="preserve"> </w:t>
            </w:r>
            <w:r w:rsidRPr="00BA4D09">
              <w:rPr>
                <w:szCs w:val="20"/>
              </w:rPr>
              <w:t xml:space="preserve">Our ambition is to engage engineering and physical science (EPS) research groups to utilise the extraordinary potential of patient-derived models to solve unanswered biological </w:t>
            </w:r>
            <w:proofErr w:type="gramStart"/>
            <w:r w:rsidRPr="00BA4D09">
              <w:rPr>
                <w:szCs w:val="20"/>
              </w:rPr>
              <w:t>questions, and</w:t>
            </w:r>
            <w:proofErr w:type="gramEnd"/>
            <w:r w:rsidRPr="00BA4D09">
              <w:rPr>
                <w:szCs w:val="20"/>
              </w:rPr>
              <w:t xml:space="preserve"> find solutions to unmet clinical needs. This mission will also require a multi-modal Data Science approach combining OMICs, imaging, and mixed-methods research data to decipher in depth what the cancer biology can tell us in term of cancer emergence, adaptation, response to treatment, resistance, metastasis and recurrence.</w:t>
            </w:r>
          </w:p>
          <w:p w14:paraId="3C2EB671" w14:textId="77777777" w:rsidR="0099607A" w:rsidRDefault="0099607A" w:rsidP="0099607A">
            <w:pPr>
              <w:rPr>
                <w:szCs w:val="20"/>
              </w:rPr>
            </w:pPr>
          </w:p>
          <w:p w14:paraId="6719F0C7" w14:textId="77777777" w:rsidR="0099607A" w:rsidRDefault="0099607A" w:rsidP="0099607A">
            <w:pPr>
              <w:rPr>
                <w:szCs w:val="20"/>
              </w:rPr>
            </w:pPr>
            <w:r w:rsidRPr="00CC57E2">
              <w:rPr>
                <w:b/>
                <w:bCs/>
                <w:szCs w:val="20"/>
              </w:rPr>
              <w:t>The Interventional Science theme</w:t>
            </w:r>
            <w:r w:rsidRPr="00F65803">
              <w:rPr>
                <w:szCs w:val="20"/>
              </w:rPr>
              <w:t xml:space="preserve"> aims to put the patient at the centre of our innovations. </w:t>
            </w:r>
            <w:r w:rsidRPr="00EE1C70">
              <w:rPr>
                <w:szCs w:val="20"/>
              </w:rPr>
              <w:t xml:space="preserve">The Centre's ambition is to support novel technologies bringing solutions to unmet needs along the patient journey. In early detection, we focus our efforts on bringing the continued development of ultrasensitive low-cost devices to detect specific early disease signals, supported by clinical positioning and adoption strategies. As modern devices need heavy data processing and analysis, we will support both hardware and software development through our Data Science initiative to connect new devices to achieve real-time analysis and smarter processing. For novel interventions, we will continue to develop technologies and methodologies to improve strategies for local control of advanced-stage cancers. </w:t>
            </w:r>
          </w:p>
          <w:p w14:paraId="0DDA99F8" w14:textId="77777777" w:rsidR="00BB1984" w:rsidRPr="008C1781" w:rsidRDefault="00BB1984" w:rsidP="00C81EBB">
            <w:pPr>
              <w:jc w:val="both"/>
              <w:rPr>
                <w:szCs w:val="20"/>
              </w:rPr>
            </w:pPr>
          </w:p>
        </w:tc>
      </w:tr>
    </w:tbl>
    <w:p w14:paraId="67A1E416" w14:textId="77777777" w:rsidR="00BB1984" w:rsidRPr="00EB0C79" w:rsidRDefault="00BB1984" w:rsidP="00694950">
      <w:pPr>
        <w:rPr>
          <w:sz w:val="16"/>
          <w:szCs w:val="16"/>
        </w:rPr>
      </w:pPr>
    </w:p>
    <w:tbl>
      <w:tblPr>
        <w:tblW w:w="10888" w:type="dxa"/>
        <w:tblBorders>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10888"/>
      </w:tblGrid>
      <w:tr w:rsidR="00826A26" w:rsidRPr="00E80F4B" w14:paraId="6B419DAA" w14:textId="77777777" w:rsidTr="006F0090">
        <w:trPr>
          <w:trHeight w:val="432"/>
          <w:tblHeader/>
        </w:trPr>
        <w:tc>
          <w:tcPr>
            <w:tcW w:w="10888" w:type="dxa"/>
            <w:tcBorders>
              <w:top w:val="nil"/>
              <w:bottom w:val="nil"/>
              <w:right w:val="nil"/>
            </w:tcBorders>
            <w:shd w:val="clear" w:color="auto" w:fill="404040" w:themeFill="text1" w:themeFillTint="BF"/>
          </w:tcPr>
          <w:p w14:paraId="2A53C88D" w14:textId="77777777" w:rsidR="00826A26" w:rsidRPr="00762493" w:rsidRDefault="00826A26" w:rsidP="00826A26">
            <w:pPr>
              <w:pStyle w:val="Heading3"/>
              <w:rPr>
                <w:rFonts w:cs="Times New Roman"/>
                <w:b w:val="0"/>
                <w:sz w:val="20"/>
                <w:szCs w:val="20"/>
              </w:rPr>
            </w:pPr>
            <w:r w:rsidRPr="00762493">
              <w:rPr>
                <w:color w:val="FFFFFF" w:themeColor="background1"/>
                <w:sz w:val="20"/>
                <w:szCs w:val="20"/>
              </w:rPr>
              <w:lastRenderedPageBreak/>
              <w:t>THE STUDENTSHIP</w:t>
            </w:r>
          </w:p>
        </w:tc>
      </w:tr>
      <w:tr w:rsidR="00826A26" w:rsidRPr="00E80F4B" w14:paraId="02D62021" w14:textId="77777777" w:rsidTr="00EB0C79">
        <w:tc>
          <w:tcPr>
            <w:tcW w:w="10888" w:type="dxa"/>
            <w:tcBorders>
              <w:top w:val="nil"/>
            </w:tcBorders>
            <w:shd w:val="clear" w:color="auto" w:fill="auto"/>
          </w:tcPr>
          <w:p w14:paraId="6FF5AF54" w14:textId="09BFE78E" w:rsidR="006E6058" w:rsidRDefault="006E6058" w:rsidP="00C81EBB">
            <w:pPr>
              <w:jc w:val="both"/>
              <w:rPr>
                <w:szCs w:val="20"/>
              </w:rPr>
            </w:pPr>
            <w:r w:rsidRPr="008C1781">
              <w:rPr>
                <w:szCs w:val="20"/>
              </w:rPr>
              <w:t>The studentships</w:t>
            </w:r>
            <w:r w:rsidR="001F4AB8">
              <w:rPr>
                <w:szCs w:val="20"/>
              </w:rPr>
              <w:t xml:space="preserve"> will</w:t>
            </w:r>
            <w:r w:rsidRPr="008C1781">
              <w:rPr>
                <w:szCs w:val="20"/>
              </w:rPr>
              <w:t xml:space="preserve"> start in the 20</w:t>
            </w:r>
            <w:r>
              <w:rPr>
                <w:szCs w:val="20"/>
              </w:rPr>
              <w:t>2</w:t>
            </w:r>
            <w:r w:rsidR="00BB1984">
              <w:rPr>
                <w:szCs w:val="20"/>
              </w:rPr>
              <w:t>5</w:t>
            </w:r>
            <w:r w:rsidRPr="008C1781">
              <w:rPr>
                <w:szCs w:val="20"/>
              </w:rPr>
              <w:t>/</w:t>
            </w:r>
            <w:r>
              <w:rPr>
                <w:szCs w:val="20"/>
              </w:rPr>
              <w:t>2</w:t>
            </w:r>
            <w:r w:rsidR="00BB1984">
              <w:rPr>
                <w:szCs w:val="20"/>
              </w:rPr>
              <w:t>6</w:t>
            </w:r>
            <w:r w:rsidRPr="008C1781">
              <w:rPr>
                <w:szCs w:val="20"/>
              </w:rPr>
              <w:t xml:space="preserve"> academic </w:t>
            </w:r>
            <w:proofErr w:type="gramStart"/>
            <w:r w:rsidRPr="00111DD7">
              <w:rPr>
                <w:szCs w:val="20"/>
              </w:rPr>
              <w:t xml:space="preserve">year, </w:t>
            </w:r>
            <w:r w:rsidR="001F4AB8">
              <w:rPr>
                <w:szCs w:val="20"/>
              </w:rPr>
              <w:t>and</w:t>
            </w:r>
            <w:proofErr w:type="gramEnd"/>
            <w:r w:rsidR="001F4AB8">
              <w:rPr>
                <w:szCs w:val="20"/>
              </w:rPr>
              <w:t xml:space="preserve"> </w:t>
            </w:r>
            <w:r w:rsidRPr="00111DD7">
              <w:rPr>
                <w:szCs w:val="20"/>
              </w:rPr>
              <w:t xml:space="preserve">comprise a </w:t>
            </w:r>
            <w:r w:rsidR="00BB1984" w:rsidRPr="00111DD7">
              <w:rPr>
                <w:szCs w:val="20"/>
              </w:rPr>
              <w:t>4</w:t>
            </w:r>
            <w:r w:rsidRPr="00111DD7">
              <w:rPr>
                <w:szCs w:val="20"/>
              </w:rPr>
              <w:t>-year PhD.</w:t>
            </w:r>
            <w:r w:rsidRPr="008C1781">
              <w:rPr>
                <w:szCs w:val="20"/>
              </w:rPr>
              <w:t xml:space="preserve"> </w:t>
            </w:r>
          </w:p>
          <w:p w14:paraId="3F5425E6" w14:textId="77777777" w:rsidR="006E6058" w:rsidRDefault="006E6058" w:rsidP="00C81EBB">
            <w:pPr>
              <w:jc w:val="both"/>
              <w:rPr>
                <w:szCs w:val="20"/>
              </w:rPr>
            </w:pPr>
          </w:p>
          <w:p w14:paraId="2DDDD1DB" w14:textId="3A667541" w:rsidR="006E6058" w:rsidRPr="008C1781" w:rsidRDefault="00997CD7" w:rsidP="00C81EBB">
            <w:pPr>
              <w:jc w:val="both"/>
              <w:rPr>
                <w:szCs w:val="20"/>
              </w:rPr>
            </w:pPr>
            <w:r>
              <w:rPr>
                <w:szCs w:val="20"/>
              </w:rPr>
              <w:t>It</w:t>
            </w:r>
            <w:r w:rsidR="006A6965">
              <w:rPr>
                <w:szCs w:val="20"/>
              </w:rPr>
              <w:t xml:space="preserve"> </w:t>
            </w:r>
            <w:r w:rsidR="0027123A">
              <w:rPr>
                <w:szCs w:val="20"/>
              </w:rPr>
              <w:t>will include training programmes such as</w:t>
            </w:r>
            <w:r w:rsidR="002C0299">
              <w:rPr>
                <w:szCs w:val="20"/>
              </w:rPr>
              <w:t xml:space="preserve"> Big Concepts in Oncology,</w:t>
            </w:r>
            <w:r w:rsidR="006E6058">
              <w:rPr>
                <w:szCs w:val="20"/>
              </w:rPr>
              <w:t xml:space="preserve"> Hackspace education (giving students experience of </w:t>
            </w:r>
            <w:r w:rsidR="006E6058" w:rsidRPr="003A2CFC">
              <w:rPr>
                <w:rFonts w:cs="Arial"/>
                <w:color w:val="000000"/>
              </w:rPr>
              <w:t>rapid prototyping (additive manufacturing, electronics, robotics, laser cutting, microfluidics, microcontrollers), software engineering/modelling (Python</w:t>
            </w:r>
            <w:r w:rsidR="006E6058">
              <w:rPr>
                <w:rFonts w:cs="Arial"/>
                <w:color w:val="000000"/>
              </w:rPr>
              <w:t>/Machine Learning</w:t>
            </w:r>
            <w:r w:rsidR="006E6058" w:rsidRPr="003A2CFC">
              <w:rPr>
                <w:rFonts w:cs="Arial"/>
                <w:color w:val="000000"/>
              </w:rPr>
              <w:t xml:space="preserve">, </w:t>
            </w:r>
            <w:proofErr w:type="spellStart"/>
            <w:r w:rsidR="006E6058" w:rsidRPr="003A2CFC">
              <w:rPr>
                <w:rFonts w:cs="Arial"/>
                <w:color w:val="000000"/>
              </w:rPr>
              <w:t>Matlab</w:t>
            </w:r>
            <w:proofErr w:type="spellEnd"/>
            <w:r w:rsidR="006E6058" w:rsidRPr="003A2CFC">
              <w:rPr>
                <w:rFonts w:cs="Arial"/>
                <w:color w:val="000000"/>
              </w:rPr>
              <w:t xml:space="preserve">, Fusion 360, </w:t>
            </w:r>
            <w:r w:rsidR="006E6058">
              <w:rPr>
                <w:rFonts w:cs="Arial"/>
                <w:color w:val="000000"/>
              </w:rPr>
              <w:t>b</w:t>
            </w:r>
            <w:r w:rsidR="006E6058" w:rsidRPr="003A2CFC">
              <w:rPr>
                <w:rFonts w:cs="Arial"/>
                <w:color w:val="000000"/>
              </w:rPr>
              <w:t xml:space="preserve">iological “toy models”) and biohacking (protein engineering, proteomics, metabolomic </w:t>
            </w:r>
            <w:r w:rsidR="006E6058">
              <w:rPr>
                <w:rFonts w:cs="Arial"/>
                <w:color w:val="000000"/>
              </w:rPr>
              <w:t>assays</w:t>
            </w:r>
            <w:r w:rsidR="006E6058" w:rsidRPr="003A2CFC">
              <w:rPr>
                <w:rFonts w:cs="Arial"/>
                <w:color w:val="000000"/>
              </w:rPr>
              <w:t>)</w:t>
            </w:r>
            <w:r w:rsidR="006E6058">
              <w:rPr>
                <w:rFonts w:cs="Arial"/>
                <w:color w:val="000000"/>
              </w:rPr>
              <w:t xml:space="preserve">); </w:t>
            </w:r>
            <w:r w:rsidR="006E6058">
              <w:rPr>
                <w:szCs w:val="20"/>
              </w:rPr>
              <w:t>the ‘</w:t>
            </w:r>
            <w:r w:rsidR="00905095">
              <w:rPr>
                <w:szCs w:val="20"/>
              </w:rPr>
              <w:t xml:space="preserve">ICB </w:t>
            </w:r>
            <w:r w:rsidR="006E6058">
              <w:rPr>
                <w:szCs w:val="20"/>
              </w:rPr>
              <w:t>CDT Biz Catalyst’</w:t>
            </w:r>
            <w:r w:rsidR="00951B9C">
              <w:rPr>
                <w:szCs w:val="20"/>
              </w:rPr>
              <w:t xml:space="preserve">, providing </w:t>
            </w:r>
            <w:r w:rsidR="006E6058">
              <w:rPr>
                <w:szCs w:val="20"/>
              </w:rPr>
              <w:t>students</w:t>
            </w:r>
            <w:r w:rsidR="00951B9C">
              <w:rPr>
                <w:szCs w:val="20"/>
              </w:rPr>
              <w:t xml:space="preserve"> with</w:t>
            </w:r>
            <w:r w:rsidR="006E6058">
              <w:rPr>
                <w:szCs w:val="20"/>
              </w:rPr>
              <w:t xml:space="preserve"> entrepreneurial training</w:t>
            </w:r>
            <w:r w:rsidR="00951B9C">
              <w:rPr>
                <w:szCs w:val="20"/>
              </w:rPr>
              <w:t xml:space="preserve"> and training in Responsible Research and Innovation and Sustainability</w:t>
            </w:r>
            <w:r w:rsidR="00BF5512">
              <w:rPr>
                <w:szCs w:val="20"/>
              </w:rPr>
              <w:t xml:space="preserve"> in the first year of the four year programme</w:t>
            </w:r>
            <w:r w:rsidR="006E6058">
              <w:rPr>
                <w:szCs w:val="20"/>
              </w:rPr>
              <w:t>.</w:t>
            </w:r>
            <w:r w:rsidR="00BF5512">
              <w:rPr>
                <w:szCs w:val="20"/>
              </w:rPr>
              <w:t xml:space="preserve"> Subsequent years’ training </w:t>
            </w:r>
            <w:r w:rsidR="00FE351B">
              <w:rPr>
                <w:szCs w:val="20"/>
              </w:rPr>
              <w:t xml:space="preserve">will include </w:t>
            </w:r>
            <w:r w:rsidR="006E6058">
              <w:rPr>
                <w:szCs w:val="20"/>
              </w:rPr>
              <w:t>additional transferable skills training</w:t>
            </w:r>
            <w:r w:rsidR="00FE351B">
              <w:rPr>
                <w:szCs w:val="20"/>
              </w:rPr>
              <w:t>, for example</w:t>
            </w:r>
            <w:r w:rsidR="006E6058">
              <w:rPr>
                <w:szCs w:val="20"/>
              </w:rPr>
              <w:t xml:space="preserve"> Science Communication with the BBC, a course in Human Centred Design, Science Policy, </w:t>
            </w:r>
            <w:r w:rsidR="002C0299">
              <w:rPr>
                <w:szCs w:val="20"/>
              </w:rPr>
              <w:t xml:space="preserve">CSC Patient and Public Engagement Workshop, CSC Think like Seminar series, </w:t>
            </w:r>
            <w:r w:rsidR="00FE351B">
              <w:rPr>
                <w:szCs w:val="20"/>
              </w:rPr>
              <w:t>the ICB CDT</w:t>
            </w:r>
            <w:r w:rsidR="006E6058">
              <w:rPr>
                <w:szCs w:val="20"/>
              </w:rPr>
              <w:t xml:space="preserve"> flagship EVOLVE programme and the opportunity to take part in our new </w:t>
            </w:r>
            <w:proofErr w:type="spellStart"/>
            <w:r w:rsidR="006E6058">
              <w:rPr>
                <w:szCs w:val="20"/>
              </w:rPr>
              <w:t>InnovaLab</w:t>
            </w:r>
            <w:proofErr w:type="spellEnd"/>
            <w:r w:rsidR="006E6058">
              <w:rPr>
                <w:szCs w:val="20"/>
              </w:rPr>
              <w:t xml:space="preserve"> (tech accelerator) and Industry Hackathons. </w:t>
            </w:r>
          </w:p>
          <w:p w14:paraId="31C87E2D" w14:textId="77777777" w:rsidR="006E6058" w:rsidRPr="008C1781" w:rsidRDefault="006E6058" w:rsidP="00C81EBB">
            <w:pPr>
              <w:jc w:val="both"/>
              <w:rPr>
                <w:szCs w:val="20"/>
              </w:rPr>
            </w:pPr>
          </w:p>
          <w:p w14:paraId="739D3FFD" w14:textId="61147917" w:rsidR="006E6058" w:rsidRDefault="006E6058" w:rsidP="00C81EBB">
            <w:pPr>
              <w:jc w:val="both"/>
              <w:rPr>
                <w:szCs w:val="20"/>
              </w:rPr>
            </w:pPr>
            <w:r w:rsidRPr="008C1781">
              <w:rPr>
                <w:szCs w:val="20"/>
              </w:rPr>
              <w:t xml:space="preserve">The studentship will cover tuition fees and stipend for a total of 4 years. In addition, there is a consumable allowance of </w:t>
            </w:r>
            <w:r w:rsidR="00963B40">
              <w:rPr>
                <w:szCs w:val="20"/>
              </w:rPr>
              <w:t xml:space="preserve">up to </w:t>
            </w:r>
            <w:r w:rsidRPr="008C1781">
              <w:rPr>
                <w:szCs w:val="20"/>
              </w:rPr>
              <w:t>£</w:t>
            </w:r>
            <w:r w:rsidR="008B20C6">
              <w:rPr>
                <w:szCs w:val="20"/>
              </w:rPr>
              <w:t>8,0</w:t>
            </w:r>
            <w:r w:rsidRPr="008C1781">
              <w:rPr>
                <w:szCs w:val="20"/>
              </w:rPr>
              <w:t>00 p</w:t>
            </w:r>
            <w:r w:rsidR="008B20C6">
              <w:rPr>
                <w:szCs w:val="20"/>
              </w:rPr>
              <w:t>.a.,</w:t>
            </w:r>
            <w:r w:rsidRPr="008C1781">
              <w:rPr>
                <w:szCs w:val="20"/>
              </w:rPr>
              <w:t xml:space="preserve"> a total of </w:t>
            </w:r>
            <w:r w:rsidR="00963B40">
              <w:rPr>
                <w:szCs w:val="20"/>
              </w:rPr>
              <w:t xml:space="preserve">up to </w:t>
            </w:r>
            <w:r w:rsidRPr="008C1781">
              <w:rPr>
                <w:szCs w:val="20"/>
              </w:rPr>
              <w:t>£</w:t>
            </w:r>
            <w:r>
              <w:rPr>
                <w:szCs w:val="20"/>
              </w:rPr>
              <w:t>2,000</w:t>
            </w:r>
            <w:r w:rsidRPr="008C1781">
              <w:rPr>
                <w:szCs w:val="20"/>
              </w:rPr>
              <w:t xml:space="preserve"> towards </w:t>
            </w:r>
            <w:r w:rsidR="008B20C6">
              <w:rPr>
                <w:szCs w:val="20"/>
              </w:rPr>
              <w:t>conferences/</w:t>
            </w:r>
            <w:r w:rsidRPr="008C1781">
              <w:rPr>
                <w:szCs w:val="20"/>
              </w:rPr>
              <w:t xml:space="preserve">travel and </w:t>
            </w:r>
            <w:r w:rsidR="00963B40">
              <w:rPr>
                <w:szCs w:val="20"/>
              </w:rPr>
              <w:t xml:space="preserve">up to </w:t>
            </w:r>
            <w:r>
              <w:rPr>
                <w:szCs w:val="20"/>
              </w:rPr>
              <w:t>£2</w:t>
            </w:r>
            <w:r w:rsidR="008B20C6">
              <w:rPr>
                <w:szCs w:val="20"/>
              </w:rPr>
              <w:t>,</w:t>
            </w:r>
            <w:r>
              <w:rPr>
                <w:szCs w:val="20"/>
              </w:rPr>
              <w:t xml:space="preserve">000 for </w:t>
            </w:r>
            <w:r w:rsidRPr="008C1781">
              <w:rPr>
                <w:szCs w:val="20"/>
              </w:rPr>
              <w:t>the EVOLVE program</w:t>
            </w:r>
            <w:r>
              <w:rPr>
                <w:szCs w:val="20"/>
              </w:rPr>
              <w:t>me</w:t>
            </w:r>
            <w:r w:rsidRPr="008C1781">
              <w:rPr>
                <w:szCs w:val="20"/>
              </w:rPr>
              <w:t xml:space="preserve"> per studentship.</w:t>
            </w:r>
          </w:p>
          <w:p w14:paraId="6E991C0D" w14:textId="3860ADBB" w:rsidR="00826A26" w:rsidRPr="008C1781" w:rsidRDefault="00826A26" w:rsidP="00FB6086">
            <w:pPr>
              <w:rPr>
                <w:szCs w:val="20"/>
              </w:rPr>
            </w:pPr>
          </w:p>
        </w:tc>
      </w:tr>
    </w:tbl>
    <w:p w14:paraId="3D044C14" w14:textId="73D67DFE" w:rsidR="00826A26" w:rsidRDefault="00826A26" w:rsidP="00694950">
      <w:pPr>
        <w:rPr>
          <w:sz w:val="16"/>
          <w:szCs w:val="16"/>
        </w:rPr>
      </w:pPr>
    </w:p>
    <w:p w14:paraId="06AC7030" w14:textId="77777777" w:rsidR="00EB0C79" w:rsidRPr="00EB0C79" w:rsidRDefault="00EB0C79" w:rsidP="00694950">
      <w:pPr>
        <w:rPr>
          <w:sz w:val="16"/>
          <w:szCs w:val="16"/>
        </w:rPr>
      </w:pPr>
    </w:p>
    <w:tbl>
      <w:tblPr>
        <w:tblW w:w="0" w:type="auto"/>
        <w:tblCellMar>
          <w:top w:w="29" w:type="dxa"/>
          <w:left w:w="115" w:type="dxa"/>
          <w:bottom w:w="29" w:type="dxa"/>
          <w:right w:w="115" w:type="dxa"/>
        </w:tblCellMar>
        <w:tblLook w:val="01E0" w:firstRow="1" w:lastRow="1" w:firstColumn="1" w:lastColumn="1" w:noHBand="0" w:noVBand="0"/>
      </w:tblPr>
      <w:tblGrid>
        <w:gridCol w:w="2229"/>
        <w:gridCol w:w="8561"/>
      </w:tblGrid>
      <w:tr w:rsidR="00222587" w:rsidRPr="00E80F4B" w14:paraId="14840777" w14:textId="77777777" w:rsidTr="00EF18BE">
        <w:trPr>
          <w:trHeight w:val="458"/>
        </w:trPr>
        <w:tc>
          <w:tcPr>
            <w:tcW w:w="10790" w:type="dxa"/>
            <w:gridSpan w:val="2"/>
            <w:tcBorders>
              <w:top w:val="single" w:sz="4" w:space="0" w:color="808080"/>
              <w:left w:val="single" w:sz="4" w:space="0" w:color="808080"/>
              <w:right w:val="single" w:sz="4" w:space="0" w:color="808080"/>
            </w:tcBorders>
            <w:shd w:val="clear" w:color="auto" w:fill="404040" w:themeFill="text1" w:themeFillTint="BF"/>
          </w:tcPr>
          <w:p w14:paraId="68E78271" w14:textId="77777777" w:rsidR="00222587" w:rsidRPr="00762493" w:rsidRDefault="00222587" w:rsidP="00CE17BF">
            <w:pPr>
              <w:pStyle w:val="Heading3"/>
              <w:rPr>
                <w:rFonts w:ascii="Calibri" w:hAnsi="Calibri"/>
                <w:sz w:val="20"/>
                <w:szCs w:val="20"/>
              </w:rPr>
            </w:pPr>
            <w:bookmarkStart w:id="2" w:name="_Toc376529145"/>
            <w:r w:rsidRPr="00762493">
              <w:rPr>
                <w:color w:val="FFFFFF" w:themeColor="background1"/>
                <w:sz w:val="20"/>
                <w:szCs w:val="20"/>
              </w:rPr>
              <w:t>SUPERVISOR ELIGIBILITY</w:t>
            </w:r>
            <w:bookmarkEnd w:id="2"/>
          </w:p>
        </w:tc>
      </w:tr>
      <w:tr w:rsidR="00EF18BE" w:rsidRPr="00E80F4B" w14:paraId="3A1E866C" w14:textId="77777777" w:rsidTr="00EF18BE">
        <w:tc>
          <w:tcPr>
            <w:tcW w:w="2229" w:type="dxa"/>
            <w:shd w:val="clear" w:color="auto" w:fill="E6E6E6"/>
          </w:tcPr>
          <w:p w14:paraId="281F0E9D" w14:textId="430ECAB6" w:rsidR="00EF18BE" w:rsidRPr="006F6AD6" w:rsidRDefault="00C81EBB" w:rsidP="00EF18BE">
            <w:r>
              <w:t>General</w:t>
            </w:r>
            <w:r w:rsidR="00EF18BE">
              <w:t xml:space="preserve"> rules</w:t>
            </w:r>
          </w:p>
        </w:tc>
        <w:tc>
          <w:tcPr>
            <w:tcW w:w="8561" w:type="dxa"/>
            <w:shd w:val="clear" w:color="auto" w:fill="auto"/>
          </w:tcPr>
          <w:p w14:paraId="62867C19" w14:textId="77777777" w:rsidR="00EF18BE" w:rsidRDefault="00EF18BE" w:rsidP="00C81EBB">
            <w:pPr>
              <w:jc w:val="both"/>
            </w:pPr>
            <w:r w:rsidRPr="00CE17BF">
              <w:t>Supervisors must fulfil the usual College criteria for eligibility to act as a PhD supervisor.</w:t>
            </w:r>
            <w:r w:rsidR="00881951">
              <w:t xml:space="preserve"> ICR supervisors must receive </w:t>
            </w:r>
            <w:r w:rsidR="00881951" w:rsidRPr="006F6F69">
              <w:t xml:space="preserve">approval from </w:t>
            </w:r>
            <w:r w:rsidR="00881951">
              <w:t xml:space="preserve">their Head of </w:t>
            </w:r>
            <w:r w:rsidR="00881951" w:rsidRPr="006F6F69">
              <w:t>Division to apply for this studentship</w:t>
            </w:r>
            <w:r w:rsidR="00881951">
              <w:t>.</w:t>
            </w:r>
          </w:p>
          <w:p w14:paraId="4A806138" w14:textId="1D98D971" w:rsidR="00382C4E" w:rsidRPr="0035516E" w:rsidRDefault="00382C4E" w:rsidP="00C81EBB">
            <w:pPr>
              <w:jc w:val="both"/>
            </w:pPr>
          </w:p>
        </w:tc>
      </w:tr>
      <w:tr w:rsidR="0083679D" w:rsidRPr="00E80F4B" w14:paraId="29C7E2B3" w14:textId="77777777" w:rsidTr="00EF18BE">
        <w:trPr>
          <w:trHeight w:val="405"/>
        </w:trPr>
        <w:tc>
          <w:tcPr>
            <w:tcW w:w="2229" w:type="dxa"/>
            <w:shd w:val="clear" w:color="auto" w:fill="E6E6E6"/>
          </w:tcPr>
          <w:p w14:paraId="5BACA97C" w14:textId="4DD0C26D" w:rsidR="0083679D" w:rsidRDefault="0083679D" w:rsidP="0083679D">
            <w:r>
              <w:t>Cross-institutional</w:t>
            </w:r>
          </w:p>
        </w:tc>
        <w:tc>
          <w:tcPr>
            <w:tcW w:w="8561" w:type="dxa"/>
            <w:shd w:val="clear" w:color="auto" w:fill="auto"/>
          </w:tcPr>
          <w:p w14:paraId="4DA8F5D8" w14:textId="77777777" w:rsidR="0083679D" w:rsidRDefault="0083679D" w:rsidP="00C81EBB">
            <w:pPr>
              <w:jc w:val="both"/>
              <w:rPr>
                <w:rStyle w:val="Hyperlink"/>
              </w:rPr>
            </w:pPr>
            <w:r w:rsidRPr="00825F00">
              <w:t xml:space="preserve">Proposed projects </w:t>
            </w:r>
            <w:r w:rsidRPr="002C0299">
              <w:rPr>
                <w:b/>
                <w:bCs/>
              </w:rPr>
              <w:t>must be cross-institutional</w:t>
            </w:r>
            <w:r w:rsidRPr="00825F00">
              <w:t xml:space="preserve"> </w:t>
            </w:r>
            <w:r w:rsidR="00965401">
              <w:t>bringing together expertise from</w:t>
            </w:r>
            <w:r w:rsidR="00965401" w:rsidRPr="00825F00">
              <w:t xml:space="preserve"> </w:t>
            </w:r>
            <w:r w:rsidRPr="00825F00">
              <w:t>at least two different disciplines</w:t>
            </w:r>
            <w:r w:rsidR="002C0299">
              <w:t>. There should be</w:t>
            </w:r>
            <w:r w:rsidR="002C0299" w:rsidRPr="00825F00">
              <w:t xml:space="preserve"> at</w:t>
            </w:r>
            <w:r w:rsidR="002C0299">
              <w:t xml:space="preserve"> </w:t>
            </w:r>
            <w:r w:rsidR="002C0299" w:rsidRPr="00825F00">
              <w:t xml:space="preserve">least </w:t>
            </w:r>
            <w:hyperlink r:id="rId8" w:history="1">
              <w:r w:rsidR="002C0299">
                <w:rPr>
                  <w:rStyle w:val="Hyperlink"/>
                </w:rPr>
                <w:t>Institute</w:t>
              </w:r>
            </w:hyperlink>
            <w:r w:rsidR="002C0299">
              <w:rPr>
                <w:rStyle w:val="Hyperlink"/>
              </w:rPr>
              <w:t xml:space="preserve"> of Chemical Biology</w:t>
            </w:r>
            <w:r w:rsidR="002C0299">
              <w:t>,</w:t>
            </w:r>
            <w:r w:rsidR="002C0299" w:rsidRPr="00825F00">
              <w:t xml:space="preserve"> and 1 from </w:t>
            </w:r>
            <w:hyperlink r:id="rId9" w:history="1">
              <w:r w:rsidR="002C0299" w:rsidRPr="009B54B5">
                <w:rPr>
                  <w:rStyle w:val="Hyperlink"/>
                </w:rPr>
                <w:t>Institute of Cancer Research (ICR).</w:t>
              </w:r>
            </w:hyperlink>
            <w:r w:rsidR="002C0299">
              <w:rPr>
                <w:rStyle w:val="Hyperlink"/>
              </w:rPr>
              <w:t xml:space="preserve"> </w:t>
            </w:r>
          </w:p>
          <w:p w14:paraId="09EED0AB" w14:textId="1980397C" w:rsidR="00F71621" w:rsidRPr="006F6AD6" w:rsidRDefault="00F71621" w:rsidP="00C81EBB">
            <w:pPr>
              <w:jc w:val="both"/>
            </w:pPr>
          </w:p>
        </w:tc>
      </w:tr>
      <w:tr w:rsidR="00EF18BE" w:rsidRPr="00E80F4B" w14:paraId="737659EE" w14:textId="77777777" w:rsidTr="00EF18BE">
        <w:trPr>
          <w:trHeight w:val="405"/>
        </w:trPr>
        <w:tc>
          <w:tcPr>
            <w:tcW w:w="2229" w:type="dxa"/>
            <w:shd w:val="clear" w:color="auto" w:fill="E6E6E6"/>
          </w:tcPr>
          <w:p w14:paraId="4017B859" w14:textId="77777777" w:rsidR="00EF18BE" w:rsidRPr="00CE17BF" w:rsidRDefault="00EF18BE" w:rsidP="00EF18BE">
            <w:r>
              <w:t>Number of supervisors and tenure</w:t>
            </w:r>
          </w:p>
        </w:tc>
        <w:tc>
          <w:tcPr>
            <w:tcW w:w="8561" w:type="dxa"/>
            <w:shd w:val="clear" w:color="auto" w:fill="auto"/>
          </w:tcPr>
          <w:p w14:paraId="30A79129" w14:textId="77777777" w:rsidR="00EF18BE" w:rsidRDefault="00EF18BE" w:rsidP="00053F36">
            <w:pPr>
              <w:jc w:val="both"/>
            </w:pPr>
            <w:r w:rsidRPr="006F6AD6">
              <w:t xml:space="preserve">At least two supervisors </w:t>
            </w:r>
            <w:r>
              <w:t xml:space="preserve">on the application </w:t>
            </w:r>
            <w:r w:rsidRPr="006F6AD6">
              <w:t xml:space="preserve">must hold an academic position at Imperial College that is tenured over the complete period of the studentship. </w:t>
            </w:r>
            <w:r w:rsidR="000F3371" w:rsidRPr="006F6AD6">
              <w:t xml:space="preserve">At least </w:t>
            </w:r>
            <w:r w:rsidR="000F3371">
              <w:t>one</w:t>
            </w:r>
            <w:r w:rsidR="000F3371" w:rsidRPr="006F6AD6">
              <w:t xml:space="preserve"> supervisor </w:t>
            </w:r>
            <w:r w:rsidR="000F3371">
              <w:t xml:space="preserve">on the application </w:t>
            </w:r>
            <w:r w:rsidR="000F3371" w:rsidRPr="006F6AD6">
              <w:t>must hold an academic position at I</w:t>
            </w:r>
            <w:r w:rsidR="000F3371">
              <w:t>CR</w:t>
            </w:r>
            <w:r w:rsidR="000F3371" w:rsidRPr="006F6AD6">
              <w:t xml:space="preserve"> that is tenured over the complete period of the studentship. </w:t>
            </w:r>
            <w:r w:rsidRPr="006F6AD6">
              <w:t>This does not mean that supervisors who do not hold a position for the full four-year period cannot apply. However, in such circumstances a</w:t>
            </w:r>
            <w:r w:rsidR="003308DC">
              <w:t>n additional</w:t>
            </w:r>
            <w:r w:rsidRPr="006F6AD6">
              <w:t xml:space="preserve"> supervisor who could continue the student supervision (if the original supervisor</w:t>
            </w:r>
            <w:r>
              <w:t>’</w:t>
            </w:r>
            <w:r w:rsidRPr="006F6AD6">
              <w:t>s tenure was not extended) would have to be added.</w:t>
            </w:r>
            <w:r>
              <w:t xml:space="preserve"> </w:t>
            </w:r>
          </w:p>
          <w:p w14:paraId="69080360" w14:textId="14082E37" w:rsidR="00F71621" w:rsidRPr="0035516E" w:rsidRDefault="00F71621" w:rsidP="00053F36">
            <w:pPr>
              <w:jc w:val="both"/>
            </w:pPr>
          </w:p>
        </w:tc>
      </w:tr>
      <w:tr w:rsidR="00EF18BE" w:rsidRPr="00E80F4B" w14:paraId="2E79B6E0" w14:textId="77777777" w:rsidTr="00EF18BE">
        <w:trPr>
          <w:trHeight w:val="405"/>
        </w:trPr>
        <w:tc>
          <w:tcPr>
            <w:tcW w:w="2229" w:type="dxa"/>
            <w:shd w:val="clear" w:color="auto" w:fill="E6E6E6"/>
          </w:tcPr>
          <w:p w14:paraId="1E64FA6C" w14:textId="21E81D90" w:rsidR="00EF18BE" w:rsidRDefault="00EF18BE" w:rsidP="00EF18BE">
            <w:r>
              <w:t>Expertise</w:t>
            </w:r>
          </w:p>
        </w:tc>
        <w:tc>
          <w:tcPr>
            <w:tcW w:w="8561" w:type="dxa"/>
            <w:shd w:val="clear" w:color="auto" w:fill="auto"/>
          </w:tcPr>
          <w:p w14:paraId="5811231E" w14:textId="77777777" w:rsidR="00EF18BE" w:rsidRDefault="00EF18BE" w:rsidP="00C81EBB">
            <w:pPr>
              <w:jc w:val="both"/>
              <w:rPr>
                <w:rFonts w:cs="Arial"/>
                <w:i/>
                <w:iCs/>
                <w:szCs w:val="20"/>
              </w:rPr>
            </w:pPr>
            <w:r w:rsidRPr="00E17FBA">
              <w:rPr>
                <w:rFonts w:cs="Arial"/>
                <w:szCs w:val="20"/>
              </w:rPr>
              <w:t xml:space="preserve">The supervisors should provide different skill sets, and the most usual division </w:t>
            </w:r>
            <w:r w:rsidR="000E7827" w:rsidRPr="00E17FBA">
              <w:rPr>
                <w:rFonts w:cs="Arial"/>
                <w:szCs w:val="20"/>
              </w:rPr>
              <w:t xml:space="preserve">will be to have one </w:t>
            </w:r>
            <w:r w:rsidR="008A5F55">
              <w:rPr>
                <w:rFonts w:cs="Arial"/>
                <w:szCs w:val="20"/>
              </w:rPr>
              <w:t xml:space="preserve">supervisor with </w:t>
            </w:r>
            <w:r w:rsidR="000E7827" w:rsidRPr="00E17FBA">
              <w:rPr>
                <w:rFonts w:cs="Arial"/>
                <w:szCs w:val="20"/>
              </w:rPr>
              <w:t>“</w:t>
            </w:r>
            <w:r w:rsidR="000E7827">
              <w:rPr>
                <w:rFonts w:cs="Arial"/>
                <w:szCs w:val="20"/>
              </w:rPr>
              <w:t>cancer</w:t>
            </w:r>
            <w:r w:rsidR="000E7827" w:rsidRPr="00E17FBA">
              <w:rPr>
                <w:rFonts w:cs="Arial"/>
                <w:szCs w:val="20"/>
              </w:rPr>
              <w:t xml:space="preserve">” </w:t>
            </w:r>
            <w:r w:rsidR="008A5F55">
              <w:rPr>
                <w:rFonts w:cs="Arial"/>
                <w:szCs w:val="20"/>
              </w:rPr>
              <w:t xml:space="preserve">expertise </w:t>
            </w:r>
            <w:r w:rsidR="000E7827" w:rsidRPr="00E17FBA">
              <w:rPr>
                <w:rFonts w:cs="Arial"/>
                <w:szCs w:val="20"/>
              </w:rPr>
              <w:t xml:space="preserve">and one </w:t>
            </w:r>
            <w:r w:rsidR="008A5F55">
              <w:rPr>
                <w:rFonts w:cs="Arial"/>
                <w:szCs w:val="20"/>
              </w:rPr>
              <w:t xml:space="preserve">supervisor with </w:t>
            </w:r>
            <w:r w:rsidRPr="00E17FBA">
              <w:rPr>
                <w:rFonts w:cs="Arial"/>
                <w:szCs w:val="20"/>
              </w:rPr>
              <w:t>“physica</w:t>
            </w:r>
            <w:r>
              <w:rPr>
                <w:rFonts w:cs="Arial"/>
                <w:szCs w:val="20"/>
              </w:rPr>
              <w:t>l/ engineering/ mathematics</w:t>
            </w:r>
            <w:r w:rsidR="00120BD5">
              <w:rPr>
                <w:rFonts w:cs="Arial"/>
                <w:szCs w:val="20"/>
              </w:rPr>
              <w:t>/lab of the future</w:t>
            </w:r>
            <w:r>
              <w:rPr>
                <w:rFonts w:cs="Arial"/>
                <w:szCs w:val="20"/>
              </w:rPr>
              <w:t xml:space="preserve">” </w:t>
            </w:r>
            <w:r w:rsidR="008A5F55">
              <w:rPr>
                <w:rFonts w:cs="Arial"/>
                <w:szCs w:val="20"/>
              </w:rPr>
              <w:t>expertise</w:t>
            </w:r>
            <w:r>
              <w:rPr>
                <w:rFonts w:cs="Arial"/>
                <w:szCs w:val="20"/>
              </w:rPr>
              <w:t xml:space="preserve">. </w:t>
            </w:r>
            <w:r w:rsidRPr="00E17FBA">
              <w:rPr>
                <w:rFonts w:cs="Arial"/>
                <w:szCs w:val="20"/>
              </w:rPr>
              <w:t>These definitions are not meant to be restrictive, nor are they necessarily defined by departmental affiliations. What is important is exposure of the student to multiple disciplines, wherever these are located</w:t>
            </w:r>
            <w:r w:rsidR="00156F1C">
              <w:rPr>
                <w:rFonts w:cs="Arial"/>
                <w:szCs w:val="20"/>
              </w:rPr>
              <w:t>, to address an unmet need in cancer</w:t>
            </w:r>
            <w:r>
              <w:rPr>
                <w:rFonts w:cs="Arial"/>
                <w:szCs w:val="20"/>
              </w:rPr>
              <w:t xml:space="preserve">. </w:t>
            </w:r>
            <w:r w:rsidRPr="00723933">
              <w:rPr>
                <w:rFonts w:cs="Arial"/>
                <w:i/>
                <w:iCs/>
                <w:szCs w:val="20"/>
              </w:rPr>
              <w:t>Refer also to “</w:t>
            </w:r>
            <w:proofErr w:type="spellStart"/>
            <w:r w:rsidRPr="00723933">
              <w:rPr>
                <w:rFonts w:cs="Arial"/>
                <w:i/>
                <w:iCs/>
                <w:szCs w:val="20"/>
              </w:rPr>
              <w:t>Multidisciplinarity</w:t>
            </w:r>
            <w:proofErr w:type="spellEnd"/>
            <w:r w:rsidRPr="00723933">
              <w:rPr>
                <w:rFonts w:cs="Arial"/>
                <w:i/>
                <w:iCs/>
                <w:szCs w:val="20"/>
              </w:rPr>
              <w:t>” under “Project requirements” below.</w:t>
            </w:r>
          </w:p>
          <w:p w14:paraId="22E7B78F" w14:textId="02E8ABE5" w:rsidR="00F71621" w:rsidRPr="0035516E" w:rsidRDefault="00F71621" w:rsidP="00C81EBB">
            <w:pPr>
              <w:jc w:val="both"/>
              <w:rPr>
                <w:rFonts w:cs="Arial"/>
                <w:szCs w:val="20"/>
              </w:rPr>
            </w:pPr>
          </w:p>
        </w:tc>
      </w:tr>
      <w:tr w:rsidR="00EF18BE" w:rsidRPr="00E80F4B" w14:paraId="56D4094E" w14:textId="77777777" w:rsidTr="00EF18BE">
        <w:tc>
          <w:tcPr>
            <w:tcW w:w="2229" w:type="dxa"/>
            <w:shd w:val="clear" w:color="auto" w:fill="E6E6E6"/>
          </w:tcPr>
          <w:p w14:paraId="0E69859F" w14:textId="77777777" w:rsidR="00EF18BE" w:rsidRPr="00CE17BF" w:rsidRDefault="00EF18BE" w:rsidP="00EF18BE">
            <w:r>
              <w:t>External supervisors</w:t>
            </w:r>
          </w:p>
        </w:tc>
        <w:tc>
          <w:tcPr>
            <w:tcW w:w="8561" w:type="dxa"/>
            <w:shd w:val="clear" w:color="auto" w:fill="auto"/>
          </w:tcPr>
          <w:p w14:paraId="1AA266C7" w14:textId="14BD1FB5" w:rsidR="00EF18BE" w:rsidRDefault="00EF18BE" w:rsidP="003308DC">
            <w:pPr>
              <w:jc w:val="both"/>
            </w:pPr>
            <w:r>
              <w:t>The primary supervisor</w:t>
            </w:r>
            <w:r w:rsidR="00053F36">
              <w:t xml:space="preserve"> can be based at either Imperial or ICR, but the degree awarding institution will be Imperial</w:t>
            </w:r>
            <w:r>
              <w:t xml:space="preserve">. </w:t>
            </w:r>
            <w:r w:rsidR="00053F36">
              <w:t>A</w:t>
            </w:r>
            <w:r w:rsidRPr="002075C4">
              <w:t>t least two supervisors on the application must hold an academic position at Imperial College</w:t>
            </w:r>
            <w:r>
              <w:t xml:space="preserve">, </w:t>
            </w:r>
            <w:r w:rsidR="00C342F4">
              <w:t>and at least one supervisor on the application must hold an academic position at ICR as it is vital that the student has a multidisciplinary lab experience.</w:t>
            </w:r>
            <w:r>
              <w:t xml:space="preserve"> </w:t>
            </w:r>
            <w:r w:rsidRPr="003308DC">
              <w:rPr>
                <w:i/>
                <w:iCs/>
              </w:rPr>
              <w:t xml:space="preserve">The inclusion of </w:t>
            </w:r>
            <w:r w:rsidR="003308DC">
              <w:rPr>
                <w:i/>
                <w:iCs/>
              </w:rPr>
              <w:t>non-IC or non-</w:t>
            </w:r>
            <w:r w:rsidR="00053F36">
              <w:rPr>
                <w:i/>
                <w:iCs/>
              </w:rPr>
              <w:t xml:space="preserve">ICR </w:t>
            </w:r>
            <w:r w:rsidR="00053F36" w:rsidRPr="00053F36">
              <w:rPr>
                <w:i/>
                <w:iCs/>
              </w:rPr>
              <w:t>supervisors</w:t>
            </w:r>
            <w:r w:rsidRPr="00053F36">
              <w:rPr>
                <w:i/>
                <w:iCs/>
              </w:rPr>
              <w:t xml:space="preserve"> should be discussed with the </w:t>
            </w:r>
            <w:r w:rsidR="003308DC">
              <w:rPr>
                <w:i/>
                <w:iCs/>
              </w:rPr>
              <w:t xml:space="preserve">CSC or </w:t>
            </w:r>
            <w:r w:rsidRPr="003308DC">
              <w:rPr>
                <w:i/>
                <w:iCs/>
              </w:rPr>
              <w:t>CDT director/deputy directors before submission of the application form. Please contact them early in the process.</w:t>
            </w:r>
            <w:r>
              <w:t xml:space="preserve"> </w:t>
            </w:r>
          </w:p>
          <w:p w14:paraId="0137DADD" w14:textId="18128C70" w:rsidR="00EF18BE" w:rsidRPr="002075C4" w:rsidRDefault="00EF18BE" w:rsidP="003308DC">
            <w:pPr>
              <w:jc w:val="both"/>
            </w:pPr>
          </w:p>
        </w:tc>
      </w:tr>
      <w:tr w:rsidR="00EF18BE" w:rsidRPr="00E80F4B" w14:paraId="69012E22" w14:textId="77777777" w:rsidTr="00EF18BE">
        <w:tc>
          <w:tcPr>
            <w:tcW w:w="2229" w:type="dxa"/>
            <w:shd w:val="clear" w:color="auto" w:fill="E6E6E6"/>
          </w:tcPr>
          <w:p w14:paraId="063A9087" w14:textId="03CEE0C4" w:rsidR="00EF18BE" w:rsidRDefault="00EF18BE" w:rsidP="00EF18BE">
            <w:r>
              <w:t>Student registration</w:t>
            </w:r>
          </w:p>
        </w:tc>
        <w:tc>
          <w:tcPr>
            <w:tcW w:w="8561" w:type="dxa"/>
            <w:shd w:val="clear" w:color="auto" w:fill="auto"/>
          </w:tcPr>
          <w:p w14:paraId="4416EAFB" w14:textId="77777777" w:rsidR="00EF18BE" w:rsidRDefault="00EF18BE" w:rsidP="00C81EBB">
            <w:pPr>
              <w:jc w:val="both"/>
            </w:pPr>
            <w:r>
              <w:t xml:space="preserve">For reporting and auditing purposes, all students will be registered in Chemistry, regardless of the departmental affiliation of the supervisors. If there are no Chemistry supervisors, a formal </w:t>
            </w:r>
            <w:r>
              <w:lastRenderedPageBreak/>
              <w:t xml:space="preserve">supervisor from Chemistry (either the director or one of the deputy directors of the ICB) will be added at 1% for administrative purposes. </w:t>
            </w:r>
          </w:p>
          <w:p w14:paraId="0FC739CD" w14:textId="335B7088" w:rsidR="004B2FF8" w:rsidRDefault="004B2FF8" w:rsidP="00C81EBB">
            <w:pPr>
              <w:jc w:val="both"/>
            </w:pPr>
          </w:p>
        </w:tc>
      </w:tr>
      <w:tr w:rsidR="00222587" w:rsidRPr="00E80F4B" w14:paraId="5EC1A1A0" w14:textId="77777777" w:rsidTr="00EF18BE">
        <w:tc>
          <w:tcPr>
            <w:tcW w:w="2229" w:type="dxa"/>
            <w:shd w:val="clear" w:color="auto" w:fill="E6E6E6"/>
          </w:tcPr>
          <w:p w14:paraId="1F75D7F2" w14:textId="10DA7732" w:rsidR="00222587" w:rsidRPr="00AA1306" w:rsidRDefault="00FB6086" w:rsidP="00E80F4B">
            <w:r w:rsidRPr="00AA1306">
              <w:lastRenderedPageBreak/>
              <w:t>Cap on number of applications</w:t>
            </w:r>
          </w:p>
        </w:tc>
        <w:tc>
          <w:tcPr>
            <w:tcW w:w="8561" w:type="dxa"/>
            <w:shd w:val="clear" w:color="auto" w:fill="auto"/>
          </w:tcPr>
          <w:p w14:paraId="06EA1F5B" w14:textId="6C4BB1D3" w:rsidR="00222587" w:rsidRPr="00CE17BF" w:rsidRDefault="003343BF" w:rsidP="00C81EBB">
            <w:pPr>
              <w:jc w:val="both"/>
            </w:pPr>
            <w:r>
              <w:t>A m</w:t>
            </w:r>
            <w:r w:rsidR="008C1781" w:rsidRPr="008C1781">
              <w:t xml:space="preserve">aximum of </w:t>
            </w:r>
            <w:r w:rsidR="008C1781" w:rsidRPr="005967B4">
              <w:t>2 applications</w:t>
            </w:r>
            <w:r w:rsidRPr="005967B4">
              <w:t xml:space="preserve"> per supervisor</w:t>
            </w:r>
            <w:r>
              <w:t xml:space="preserve"> is allowed</w:t>
            </w:r>
            <w:r w:rsidR="007010E8">
              <w:t xml:space="preserve"> for a given studentship call</w:t>
            </w:r>
            <w:r>
              <w:t>.</w:t>
            </w:r>
          </w:p>
        </w:tc>
      </w:tr>
    </w:tbl>
    <w:p w14:paraId="45626079" w14:textId="77777777" w:rsidR="00CE17BF" w:rsidRDefault="00CE17BF" w:rsidP="005B1A2A">
      <w:pPr>
        <w:pStyle w:val="Heading3"/>
      </w:pPr>
    </w:p>
    <w:p w14:paraId="6A1BEAA1" w14:textId="77777777" w:rsidR="003B552D" w:rsidRDefault="003B552D" w:rsidP="00C811A3"/>
    <w:tbl>
      <w:tblPr>
        <w:tblW w:w="10888" w:type="dxa"/>
        <w:tblBorders>
          <w:bottom w:val="single" w:sz="4" w:space="0" w:color="auto"/>
          <w:insideH w:val="single" w:sz="4" w:space="0" w:color="C0C0C0"/>
          <w:insideV w:val="single" w:sz="4" w:space="0" w:color="C0C0C0"/>
        </w:tblBorders>
        <w:tblLayout w:type="fixed"/>
        <w:tblCellMar>
          <w:top w:w="29" w:type="dxa"/>
          <w:left w:w="115" w:type="dxa"/>
          <w:bottom w:w="29" w:type="dxa"/>
          <w:right w:w="115" w:type="dxa"/>
        </w:tblCellMar>
        <w:tblLook w:val="01E0" w:firstRow="1" w:lastRow="1" w:firstColumn="1" w:lastColumn="1" w:noHBand="0" w:noVBand="0"/>
      </w:tblPr>
      <w:tblGrid>
        <w:gridCol w:w="1816"/>
        <w:gridCol w:w="7513"/>
        <w:gridCol w:w="1559"/>
      </w:tblGrid>
      <w:tr w:rsidR="00AE5857" w:rsidRPr="00E45E2D" w14:paraId="7299EEBB" w14:textId="77777777" w:rsidTr="006F0090">
        <w:trPr>
          <w:cantSplit/>
          <w:trHeight w:val="432"/>
        </w:trPr>
        <w:tc>
          <w:tcPr>
            <w:tcW w:w="9329" w:type="dxa"/>
            <w:gridSpan w:val="2"/>
            <w:tcBorders>
              <w:top w:val="nil"/>
              <w:bottom w:val="single" w:sz="4" w:space="0" w:color="auto"/>
              <w:right w:val="nil"/>
            </w:tcBorders>
            <w:shd w:val="clear" w:color="auto" w:fill="404040" w:themeFill="text1" w:themeFillTint="BF"/>
          </w:tcPr>
          <w:p w14:paraId="4C05192D" w14:textId="77777777" w:rsidR="00AE5857" w:rsidRPr="00762493" w:rsidRDefault="00AE5857" w:rsidP="003B552D">
            <w:pPr>
              <w:keepNext/>
              <w:spacing w:before="80" w:after="20"/>
              <w:outlineLvl w:val="4"/>
              <w:rPr>
                <w:rFonts w:cs="Arial"/>
                <w:b/>
                <w:bCs/>
                <w:color w:val="FFFFFF" w:themeColor="background1"/>
                <w:spacing w:val="20"/>
                <w:szCs w:val="20"/>
              </w:rPr>
            </w:pPr>
            <w:r w:rsidRPr="00762493">
              <w:rPr>
                <w:rFonts w:cs="Arial"/>
                <w:b/>
                <w:color w:val="FFFFFF" w:themeColor="background1"/>
                <w:szCs w:val="20"/>
              </w:rPr>
              <w:t xml:space="preserve">PROJECT REQUIREMENTS “ANNUAL CALL” - ASSESSED COMPONENTS </w:t>
            </w:r>
          </w:p>
        </w:tc>
        <w:tc>
          <w:tcPr>
            <w:tcW w:w="1559" w:type="dxa"/>
            <w:tcBorders>
              <w:top w:val="nil"/>
              <w:bottom w:val="single" w:sz="4" w:space="0" w:color="auto"/>
              <w:right w:val="nil"/>
            </w:tcBorders>
            <w:shd w:val="clear" w:color="auto" w:fill="404040" w:themeFill="text1" w:themeFillTint="BF"/>
          </w:tcPr>
          <w:p w14:paraId="7AA3A265" w14:textId="77777777" w:rsidR="00AE5857" w:rsidRPr="00762493" w:rsidRDefault="002761D5" w:rsidP="002761D5">
            <w:pPr>
              <w:keepNext/>
              <w:spacing w:before="80" w:after="20"/>
              <w:outlineLvl w:val="4"/>
              <w:rPr>
                <w:rFonts w:cs="Arial"/>
                <w:szCs w:val="20"/>
              </w:rPr>
            </w:pPr>
            <w:r w:rsidRPr="00762493">
              <w:rPr>
                <w:rFonts w:cs="Arial"/>
                <w:color w:val="FFFFFF" w:themeColor="background1"/>
                <w:szCs w:val="20"/>
              </w:rPr>
              <w:t>Threshold / m</w:t>
            </w:r>
            <w:r w:rsidR="00AE5857" w:rsidRPr="00762493">
              <w:rPr>
                <w:rFonts w:cs="Arial"/>
                <w:color w:val="FFFFFF" w:themeColor="background1"/>
                <w:szCs w:val="20"/>
              </w:rPr>
              <w:t xml:space="preserve">aximum score </w:t>
            </w:r>
          </w:p>
        </w:tc>
      </w:tr>
      <w:tr w:rsidR="00402800" w:rsidRPr="00E45E2D" w14:paraId="3C0BF236" w14:textId="77777777" w:rsidTr="00885781">
        <w:trPr>
          <w:cantSplit/>
          <w:trHeight w:val="1944"/>
        </w:trPr>
        <w:tc>
          <w:tcPr>
            <w:tcW w:w="1816" w:type="dxa"/>
            <w:tcBorders>
              <w:top w:val="single" w:sz="4" w:space="0" w:color="auto"/>
              <w:bottom w:val="single" w:sz="4" w:space="0" w:color="D9D9D9" w:themeColor="background1" w:themeShade="D9"/>
              <w:right w:val="single" w:sz="4" w:space="0" w:color="D9D9D9" w:themeColor="background1" w:themeShade="D9"/>
            </w:tcBorders>
            <w:shd w:val="clear" w:color="auto" w:fill="D9D9D9" w:themeFill="background1" w:themeFillShade="D9"/>
          </w:tcPr>
          <w:p w14:paraId="16686775" w14:textId="0CF5053C" w:rsidR="00402800" w:rsidRPr="00E17FBA" w:rsidRDefault="00402800" w:rsidP="00402800">
            <w:pPr>
              <w:rPr>
                <w:rFonts w:cs="Arial"/>
                <w:szCs w:val="20"/>
              </w:rPr>
            </w:pPr>
            <w:r w:rsidRPr="00E17FBA">
              <w:rPr>
                <w:rFonts w:cs="Arial"/>
                <w:szCs w:val="20"/>
              </w:rPr>
              <w:t>Science</w:t>
            </w:r>
            <w:r w:rsidR="003308DC">
              <w:rPr>
                <w:rFonts w:cs="Arial"/>
                <w:szCs w:val="20"/>
              </w:rPr>
              <w:t xml:space="preserve"> – Cancer Led</w:t>
            </w:r>
          </w:p>
        </w:tc>
        <w:tc>
          <w:tcPr>
            <w:tcW w:w="7513"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D6D912" w14:textId="77777777" w:rsidR="003308DC" w:rsidRDefault="00402800" w:rsidP="00C81EBB">
            <w:pPr>
              <w:autoSpaceDE w:val="0"/>
              <w:autoSpaceDN w:val="0"/>
              <w:adjustRightInd w:val="0"/>
              <w:jc w:val="both"/>
              <w:rPr>
                <w:rFonts w:cs="Arial"/>
                <w:szCs w:val="20"/>
              </w:rPr>
            </w:pPr>
            <w:r w:rsidRPr="00E17FBA">
              <w:rPr>
                <w:rFonts w:cs="Arial"/>
                <w:szCs w:val="20"/>
              </w:rPr>
              <w:t xml:space="preserve">Proposals will typically be concerned with the </w:t>
            </w:r>
            <w:r w:rsidRPr="005967B4">
              <w:rPr>
                <w:rFonts w:cs="Arial"/>
                <w:szCs w:val="20"/>
              </w:rPr>
              <w:t xml:space="preserve">development of </w:t>
            </w:r>
            <w:r w:rsidR="00A24C84">
              <w:rPr>
                <w:rFonts w:cs="Arial"/>
                <w:szCs w:val="20"/>
              </w:rPr>
              <w:t>novel</w:t>
            </w:r>
            <w:r w:rsidR="00A24C84" w:rsidRPr="005967B4">
              <w:rPr>
                <w:rFonts w:cs="Arial"/>
                <w:szCs w:val="20"/>
              </w:rPr>
              <w:t xml:space="preserve"> </w:t>
            </w:r>
            <w:r w:rsidRPr="005967B4">
              <w:rPr>
                <w:rFonts w:cs="Arial"/>
                <w:szCs w:val="20"/>
              </w:rPr>
              <w:t>molecular tools and technologies</w:t>
            </w:r>
            <w:r>
              <w:rPr>
                <w:rFonts w:cs="Arial"/>
                <w:szCs w:val="20"/>
              </w:rPr>
              <w:t xml:space="preserve"> in Chemical Biology </w:t>
            </w:r>
            <w:r w:rsidRPr="005967B4">
              <w:rPr>
                <w:rFonts w:cs="Arial"/>
                <w:szCs w:val="20"/>
              </w:rPr>
              <w:t xml:space="preserve">to study specific molecular interactions that address </w:t>
            </w:r>
            <w:r w:rsidR="00EA36B1">
              <w:rPr>
                <w:rFonts w:cs="Arial"/>
                <w:b/>
                <w:szCs w:val="20"/>
              </w:rPr>
              <w:t>an unmet need</w:t>
            </w:r>
            <w:r w:rsidR="00EA36B1" w:rsidRPr="005967B4">
              <w:rPr>
                <w:rFonts w:cs="Arial"/>
                <w:b/>
                <w:szCs w:val="20"/>
              </w:rPr>
              <w:t xml:space="preserve"> in </w:t>
            </w:r>
            <w:r w:rsidR="00EA36B1">
              <w:rPr>
                <w:rFonts w:cs="Arial"/>
                <w:b/>
                <w:szCs w:val="20"/>
              </w:rPr>
              <w:t>cancer</w:t>
            </w:r>
            <w:r w:rsidRPr="005967B4">
              <w:rPr>
                <w:rFonts w:cs="Arial"/>
                <w:szCs w:val="20"/>
              </w:rPr>
              <w:t xml:space="preserve">. Project proposals concerned with either translational or basic research will be considered, but in both </w:t>
            </w:r>
            <w:proofErr w:type="gramStart"/>
            <w:r w:rsidRPr="005967B4">
              <w:rPr>
                <w:rFonts w:cs="Arial"/>
                <w:szCs w:val="20"/>
              </w:rPr>
              <w:t>instances</w:t>
            </w:r>
            <w:proofErr w:type="gramEnd"/>
            <w:r w:rsidRPr="005967B4">
              <w:rPr>
                <w:rFonts w:cs="Arial"/>
                <w:szCs w:val="20"/>
              </w:rPr>
              <w:t xml:space="preserve"> there must be underpinning innovation in the physical sciences</w:t>
            </w:r>
            <w:r w:rsidR="00A24C84">
              <w:rPr>
                <w:rFonts w:cs="Arial"/>
                <w:szCs w:val="20"/>
              </w:rPr>
              <w:t xml:space="preserve"> (see below)</w:t>
            </w:r>
            <w:r w:rsidRPr="005967B4">
              <w:rPr>
                <w:rFonts w:cs="Arial"/>
                <w:szCs w:val="20"/>
              </w:rPr>
              <w:t xml:space="preserve">. </w:t>
            </w:r>
          </w:p>
          <w:p w14:paraId="3E55C028" w14:textId="41C60017" w:rsidR="00402800" w:rsidRPr="00E17FBA" w:rsidRDefault="00537EAD" w:rsidP="00C81EBB">
            <w:pPr>
              <w:autoSpaceDE w:val="0"/>
              <w:autoSpaceDN w:val="0"/>
              <w:adjustRightInd w:val="0"/>
              <w:jc w:val="both"/>
              <w:rPr>
                <w:rFonts w:cs="Arial"/>
                <w:szCs w:val="20"/>
              </w:rPr>
            </w:pPr>
            <w:r>
              <w:rPr>
                <w:rFonts w:cs="Arial"/>
                <w:szCs w:val="20"/>
              </w:rPr>
              <w:t>This section should describe the biological challenge. In this call, p</w:t>
            </w:r>
            <w:r w:rsidR="003308DC" w:rsidRPr="003308DC">
              <w:rPr>
                <w:rFonts w:cs="Arial"/>
                <w:szCs w:val="20"/>
              </w:rPr>
              <w:t xml:space="preserve">rojects must address an unmet need in cancer which aligns with </w:t>
            </w:r>
            <w:r w:rsidR="003308DC">
              <w:rPr>
                <w:rFonts w:cs="Arial"/>
                <w:szCs w:val="20"/>
              </w:rPr>
              <w:t>CS</w:t>
            </w:r>
            <w:r w:rsidR="003308DC" w:rsidRPr="003308DC">
              <w:rPr>
                <w:rFonts w:cs="Arial"/>
                <w:szCs w:val="20"/>
              </w:rPr>
              <w:t xml:space="preserve">C’s research themes. i) Convergence Discovery Research, aiming to identify cancer vulnerabilities through the integration of Discovery Research and clinical materials, and ii) Interventional Science, covering technological innovations in early detection and diagnosis, novel interventions and therapy monitoring. </w:t>
            </w:r>
            <w:hyperlink r:id="rId10" w:history="1">
              <w:r w:rsidR="003308DC" w:rsidRPr="003308DC">
                <w:rPr>
                  <w:rStyle w:val="Hyperlink"/>
                  <w:rFonts w:cs="Arial"/>
                  <w:szCs w:val="20"/>
                </w:rPr>
                <w:t>Further details can be found here</w:t>
              </w:r>
            </w:hyperlink>
            <w:r w:rsidR="003308DC" w:rsidRPr="003308DC">
              <w:rPr>
                <w:rFonts w:cs="Arial"/>
                <w:szCs w:val="20"/>
              </w:rPr>
              <w:t>.</w:t>
            </w:r>
          </w:p>
        </w:tc>
        <w:tc>
          <w:tcPr>
            <w:tcW w:w="1559" w:type="dxa"/>
            <w:tcBorders>
              <w:top w:val="single" w:sz="4" w:space="0" w:color="auto"/>
              <w:left w:val="single" w:sz="4" w:space="0" w:color="D9D9D9" w:themeColor="background1" w:themeShade="D9"/>
              <w:bottom w:val="single" w:sz="4" w:space="0" w:color="D9D9D9" w:themeColor="background1" w:themeShade="D9"/>
            </w:tcBorders>
          </w:tcPr>
          <w:p w14:paraId="7AB99166" w14:textId="36226879" w:rsidR="00402800" w:rsidRPr="00E17FBA" w:rsidRDefault="00402800" w:rsidP="00402800">
            <w:pPr>
              <w:autoSpaceDE w:val="0"/>
              <w:autoSpaceDN w:val="0"/>
              <w:adjustRightInd w:val="0"/>
              <w:rPr>
                <w:rFonts w:cs="Arial"/>
                <w:szCs w:val="20"/>
              </w:rPr>
            </w:pPr>
            <w:r w:rsidRPr="008D202A">
              <w:rPr>
                <w:rFonts w:ascii="Calibri" w:hAnsi="Calibri"/>
                <w:sz w:val="22"/>
              </w:rPr>
              <w:t>(</w:t>
            </w:r>
            <w:r w:rsidR="00870F3E">
              <w:rPr>
                <w:rFonts w:ascii="Calibri" w:hAnsi="Calibri"/>
                <w:sz w:val="22"/>
              </w:rPr>
              <w:t>5</w:t>
            </w:r>
            <w:r>
              <w:rPr>
                <w:rFonts w:ascii="Calibri" w:hAnsi="Calibri"/>
                <w:sz w:val="22"/>
              </w:rPr>
              <w:t>.0</w:t>
            </w:r>
            <w:r w:rsidRPr="008D202A">
              <w:rPr>
                <w:rFonts w:ascii="Calibri" w:hAnsi="Calibri"/>
                <w:sz w:val="22"/>
              </w:rPr>
              <w:t>/</w:t>
            </w:r>
            <w:r w:rsidR="00870F3E">
              <w:rPr>
                <w:rFonts w:ascii="Calibri" w:hAnsi="Calibri"/>
                <w:sz w:val="22"/>
              </w:rPr>
              <w:t>10</w:t>
            </w:r>
            <w:r w:rsidRPr="008D202A">
              <w:rPr>
                <w:rFonts w:ascii="Calibri" w:hAnsi="Calibri"/>
                <w:sz w:val="22"/>
              </w:rPr>
              <w:t>.0)</w:t>
            </w:r>
          </w:p>
        </w:tc>
      </w:tr>
      <w:tr w:rsidR="0081087F" w:rsidRPr="00E45E2D" w14:paraId="2CCBCADC" w14:textId="77777777" w:rsidTr="00885781">
        <w:trPr>
          <w:cantSplit/>
          <w:trHeight w:val="769"/>
        </w:trPr>
        <w:tc>
          <w:tcPr>
            <w:tcW w:w="181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DDDDD"/>
          </w:tcPr>
          <w:p w14:paraId="3157DAB5" w14:textId="77777777" w:rsidR="0081087F" w:rsidRPr="00E17FBA" w:rsidRDefault="0081087F" w:rsidP="0081087F">
            <w:pPr>
              <w:rPr>
                <w:rFonts w:cs="Arial"/>
                <w:szCs w:val="20"/>
              </w:rPr>
            </w:pPr>
            <w:r w:rsidRPr="00E17FBA">
              <w:rPr>
                <w:rFonts w:cs="Arial"/>
                <w:szCs w:val="20"/>
              </w:rPr>
              <w:t>Physical science innovation</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6E2A79" w14:textId="79802AF9" w:rsidR="003308DC" w:rsidRPr="00E17FBA" w:rsidRDefault="0081087F" w:rsidP="00C81EBB">
            <w:pPr>
              <w:jc w:val="both"/>
              <w:rPr>
                <w:rFonts w:cs="Arial"/>
                <w:szCs w:val="20"/>
              </w:rPr>
            </w:pPr>
            <w:r w:rsidRPr="00E17FBA">
              <w:rPr>
                <w:rFonts w:cs="Arial"/>
                <w:szCs w:val="20"/>
              </w:rPr>
              <w:t>The application must demonstrate</w:t>
            </w:r>
            <w:r w:rsidRPr="00E17FBA">
              <w:rPr>
                <w:rFonts w:cs="Arial"/>
                <w:b/>
                <w:bCs/>
                <w:szCs w:val="20"/>
              </w:rPr>
              <w:t xml:space="preserve"> innovation in the physical sciences</w:t>
            </w:r>
            <w:r w:rsidR="00474791">
              <w:rPr>
                <w:rFonts w:cs="Arial"/>
                <w:b/>
                <w:bCs/>
                <w:szCs w:val="20"/>
              </w:rPr>
              <w:t xml:space="preserve"> </w:t>
            </w:r>
            <w:r w:rsidR="00474791">
              <w:rPr>
                <w:rFonts w:cs="Arial"/>
                <w:szCs w:val="20"/>
              </w:rPr>
              <w:t>(which includes e.g. chemistry, physics, mathematics and engineering</w:t>
            </w:r>
            <w:r w:rsidR="001432E6">
              <w:rPr>
                <w:rFonts w:cs="Arial"/>
                <w:szCs w:val="20"/>
              </w:rPr>
              <w:t>)</w:t>
            </w:r>
            <w:r w:rsidRPr="00C81EBB">
              <w:rPr>
                <w:rFonts w:cs="Arial"/>
                <w:szCs w:val="20"/>
              </w:rPr>
              <w:t>.</w:t>
            </w:r>
            <w:r w:rsidRPr="00E17FBA">
              <w:rPr>
                <w:rFonts w:cs="Arial"/>
                <w:b/>
                <w:bCs/>
                <w:szCs w:val="20"/>
              </w:rPr>
              <w:t xml:space="preserve"> </w:t>
            </w:r>
            <w:r w:rsidR="00914C78">
              <w:rPr>
                <w:rFonts w:cs="Arial"/>
                <w:szCs w:val="20"/>
              </w:rPr>
              <w:t xml:space="preserve">The focus should be on the development of the next generation </w:t>
            </w:r>
            <w:r w:rsidR="001432E6">
              <w:rPr>
                <w:rFonts w:cs="Arial"/>
                <w:szCs w:val="20"/>
              </w:rPr>
              <w:t xml:space="preserve">of </w:t>
            </w:r>
            <w:r w:rsidR="00914C78">
              <w:rPr>
                <w:rFonts w:cs="Arial"/>
                <w:szCs w:val="20"/>
              </w:rPr>
              <w:t>t</w:t>
            </w:r>
            <w:r w:rsidR="006E384C">
              <w:rPr>
                <w:rFonts w:cs="Arial"/>
                <w:szCs w:val="20"/>
              </w:rPr>
              <w:t>ools and t</w:t>
            </w:r>
            <w:r w:rsidRPr="00E17FBA">
              <w:rPr>
                <w:rFonts w:cs="Arial"/>
                <w:szCs w:val="20"/>
              </w:rPr>
              <w:t xml:space="preserve">echnologies </w:t>
            </w:r>
            <w:r w:rsidR="00914C78">
              <w:rPr>
                <w:rFonts w:cs="Arial"/>
                <w:szCs w:val="20"/>
              </w:rPr>
              <w:t xml:space="preserve">for </w:t>
            </w:r>
            <w:r w:rsidRPr="00E17FBA">
              <w:rPr>
                <w:rFonts w:cs="Arial"/>
                <w:szCs w:val="20"/>
              </w:rPr>
              <w:t>making, measuring, manipulating and modelling</w:t>
            </w:r>
            <w:r w:rsidR="00914C78">
              <w:rPr>
                <w:rFonts w:cs="Arial"/>
                <w:szCs w:val="20"/>
              </w:rPr>
              <w:t xml:space="preserve"> molecular interactions</w:t>
            </w:r>
            <w:r w:rsidR="001432E6">
              <w:rPr>
                <w:rFonts w:cs="Arial"/>
                <w:szCs w:val="20"/>
              </w:rPr>
              <w:t xml:space="preserve"> in biological systems across multiple length scales, that can be applied to tackle biological /medical challenges</w:t>
            </w:r>
            <w:r w:rsidRPr="00E17FBA">
              <w:rPr>
                <w:rFonts w:cs="Arial"/>
                <w:szCs w:val="20"/>
              </w:rPr>
              <w:t>. A solely biological/medical proposal, no matter how interesting</w:t>
            </w:r>
            <w:r>
              <w:rPr>
                <w:rFonts w:cs="Arial"/>
                <w:szCs w:val="20"/>
              </w:rPr>
              <w:t>, is unfortunately not within our remit</w:t>
            </w:r>
            <w:r w:rsidRPr="00E17FBA">
              <w:rPr>
                <w:rFonts w:cs="Arial"/>
                <w:szCs w:val="20"/>
              </w:rPr>
              <w:t>. Typically, projects w</w:t>
            </w:r>
            <w:r>
              <w:rPr>
                <w:rFonts w:cs="Arial"/>
                <w:szCs w:val="20"/>
              </w:rPr>
              <w:t>ill</w:t>
            </w:r>
            <w:r w:rsidRPr="00E17FBA">
              <w:rPr>
                <w:rFonts w:cs="Arial"/>
                <w:szCs w:val="20"/>
              </w:rPr>
              <w:t xml:space="preserve"> involve the </w:t>
            </w:r>
            <w:proofErr w:type="gramStart"/>
            <w:r w:rsidRPr="00E17FBA">
              <w:rPr>
                <w:rFonts w:cs="Arial"/>
                <w:szCs w:val="20"/>
              </w:rPr>
              <w:t>development</w:t>
            </w:r>
            <w:proofErr w:type="gramEnd"/>
            <w:r w:rsidRPr="00E17FBA">
              <w:rPr>
                <w:rFonts w:cs="Arial"/>
                <w:szCs w:val="20"/>
              </w:rPr>
              <w:t xml:space="preserve"> </w:t>
            </w:r>
            <w:r w:rsidRPr="00E17FBA">
              <w:rPr>
                <w:rFonts w:cs="Arial"/>
                <w:i/>
                <w:szCs w:val="20"/>
              </w:rPr>
              <w:t>or</w:t>
            </w:r>
            <w:r w:rsidRPr="00E17FBA">
              <w:rPr>
                <w:rFonts w:cs="Arial"/>
                <w:szCs w:val="20"/>
              </w:rPr>
              <w:t xml:space="preserve"> the translation of a new technology applied to a biological problem. Modification of an existing technology to solve a specific biological problem is allow</w:t>
            </w:r>
            <w:r>
              <w:rPr>
                <w:rFonts w:cs="Arial"/>
                <w:szCs w:val="20"/>
              </w:rPr>
              <w:t>able</w:t>
            </w:r>
            <w:r w:rsidRPr="00E17FBA">
              <w:rPr>
                <w:rFonts w:cs="Arial"/>
                <w:szCs w:val="20"/>
              </w:rPr>
              <w:t xml:space="preserve">, but there </w:t>
            </w:r>
            <w:r w:rsidR="001432E6" w:rsidRPr="00E17FBA">
              <w:rPr>
                <w:rFonts w:cs="Arial"/>
                <w:szCs w:val="20"/>
              </w:rPr>
              <w:t>must</w:t>
            </w:r>
            <w:r w:rsidRPr="00E17FBA">
              <w:rPr>
                <w:rFonts w:cs="Arial"/>
                <w:szCs w:val="20"/>
              </w:rPr>
              <w:t xml:space="preserve"> be considerable novelty in the development of the technology underpinned by innovation in the physical sciences. Translation into a new sector without innovation in the physical sciences is not within the remit of the </w:t>
            </w:r>
            <w:r>
              <w:rPr>
                <w:rFonts w:cs="Arial"/>
                <w:szCs w:val="20"/>
              </w:rPr>
              <w:t>ICB</w:t>
            </w:r>
            <w:r w:rsidR="00FF7A41">
              <w:rPr>
                <w:rFonts w:cs="Arial"/>
                <w:szCs w:val="20"/>
              </w:rPr>
              <w:t xml:space="preserve"> CDT</w:t>
            </w:r>
            <w:r w:rsidRPr="00E17FBA">
              <w:rPr>
                <w:rFonts w:cs="Arial"/>
                <w:szCs w:val="20"/>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76019D5" w14:textId="0F210AF9" w:rsidR="0081087F" w:rsidRPr="00E17FBA" w:rsidRDefault="0081087F" w:rsidP="0081087F">
            <w:pPr>
              <w:rPr>
                <w:rFonts w:cs="Arial"/>
                <w:szCs w:val="20"/>
              </w:rPr>
            </w:pPr>
            <w:r w:rsidRPr="008D202A">
              <w:rPr>
                <w:rFonts w:ascii="Calibri" w:hAnsi="Calibri"/>
                <w:sz w:val="22"/>
              </w:rPr>
              <w:t>(</w:t>
            </w:r>
            <w:r>
              <w:rPr>
                <w:rFonts w:ascii="Calibri" w:hAnsi="Calibri"/>
                <w:sz w:val="22"/>
              </w:rPr>
              <w:t>5.0</w:t>
            </w:r>
            <w:r w:rsidRPr="008D202A">
              <w:rPr>
                <w:rFonts w:ascii="Calibri" w:hAnsi="Calibri"/>
                <w:sz w:val="22"/>
              </w:rPr>
              <w:t>/</w:t>
            </w:r>
            <w:r>
              <w:rPr>
                <w:rFonts w:ascii="Calibri" w:hAnsi="Calibri"/>
                <w:sz w:val="22"/>
              </w:rPr>
              <w:t>10</w:t>
            </w:r>
            <w:r w:rsidRPr="008D202A">
              <w:rPr>
                <w:rFonts w:ascii="Calibri" w:hAnsi="Calibri"/>
                <w:sz w:val="22"/>
              </w:rPr>
              <w:t>.0)</w:t>
            </w:r>
          </w:p>
        </w:tc>
      </w:tr>
      <w:tr w:rsidR="00FB09F0" w:rsidRPr="00E45E2D" w14:paraId="0BC187C7" w14:textId="77777777" w:rsidTr="00885781">
        <w:trPr>
          <w:cantSplit/>
          <w:trHeight w:val="769"/>
        </w:trPr>
        <w:tc>
          <w:tcPr>
            <w:tcW w:w="181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DDDDD"/>
          </w:tcPr>
          <w:p w14:paraId="21322288" w14:textId="77777777" w:rsidR="00FB09F0" w:rsidRPr="00E17FBA" w:rsidRDefault="00FB09F0" w:rsidP="00FB09F0">
            <w:pPr>
              <w:rPr>
                <w:rFonts w:cs="Arial"/>
                <w:szCs w:val="20"/>
              </w:rPr>
            </w:pPr>
            <w:proofErr w:type="spellStart"/>
            <w:r w:rsidRPr="00E17FBA">
              <w:rPr>
                <w:rFonts w:cs="Arial"/>
                <w:szCs w:val="20"/>
              </w:rPr>
              <w:t>Multidisciplinarity</w:t>
            </w:r>
            <w:proofErr w:type="spellEnd"/>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636F42" w14:textId="23C6C3BA" w:rsidR="00FB09F0" w:rsidRPr="00E17FBA" w:rsidRDefault="00853553" w:rsidP="00FB09F0">
            <w:pPr>
              <w:rPr>
                <w:rFonts w:cs="Arial"/>
                <w:szCs w:val="20"/>
              </w:rPr>
            </w:pPr>
            <w:r w:rsidRPr="00E17FBA">
              <w:rPr>
                <w:rFonts w:cs="Arial"/>
                <w:szCs w:val="20"/>
              </w:rPr>
              <w:t xml:space="preserve">It is fundamental that the project is inherently multidisciplinary. Therefore, it must include at least </w:t>
            </w:r>
            <w:r>
              <w:rPr>
                <w:rFonts w:cs="Arial"/>
                <w:szCs w:val="20"/>
              </w:rPr>
              <w:t>one supervisor from Imperial and one from ICR</w:t>
            </w:r>
            <w:r w:rsidRPr="00E17FBA">
              <w:rPr>
                <w:rFonts w:cs="Arial"/>
                <w:szCs w:val="20"/>
              </w:rPr>
              <w:t>. The supervisors should provide the different skill sets, and the most usual division will be to have one</w:t>
            </w:r>
            <w:r w:rsidR="008376E7">
              <w:rPr>
                <w:rFonts w:cs="Arial"/>
                <w:szCs w:val="20"/>
              </w:rPr>
              <w:t xml:space="preserve"> supervisor with expertise in</w:t>
            </w:r>
            <w:r w:rsidRPr="00E17FBA">
              <w:rPr>
                <w:rFonts w:cs="Arial"/>
                <w:szCs w:val="20"/>
              </w:rPr>
              <w:t xml:space="preserve"> “</w:t>
            </w:r>
            <w:r>
              <w:rPr>
                <w:rFonts w:cs="Arial"/>
                <w:szCs w:val="20"/>
              </w:rPr>
              <w:t>cancer</w:t>
            </w:r>
            <w:r w:rsidRPr="00E17FBA">
              <w:rPr>
                <w:rFonts w:cs="Arial"/>
                <w:szCs w:val="20"/>
              </w:rPr>
              <w:t xml:space="preserve">” and one </w:t>
            </w:r>
            <w:r w:rsidR="008376E7">
              <w:rPr>
                <w:rFonts w:cs="Arial"/>
                <w:szCs w:val="20"/>
              </w:rPr>
              <w:t xml:space="preserve">with </w:t>
            </w:r>
            <w:r w:rsidRPr="00E17FBA">
              <w:rPr>
                <w:rFonts w:cs="Arial"/>
                <w:szCs w:val="20"/>
              </w:rPr>
              <w:t>“physical</w:t>
            </w:r>
            <w:r w:rsidR="008376E7">
              <w:rPr>
                <w:rFonts w:cs="Arial"/>
                <w:szCs w:val="20"/>
              </w:rPr>
              <w:t xml:space="preserve"> science</w:t>
            </w:r>
            <w:r w:rsidRPr="00E17FBA">
              <w:rPr>
                <w:rFonts w:cs="Arial"/>
                <w:szCs w:val="20"/>
              </w:rPr>
              <w:t>”</w:t>
            </w:r>
            <w:r w:rsidR="008376E7">
              <w:rPr>
                <w:rFonts w:cs="Arial"/>
                <w:szCs w:val="20"/>
              </w:rPr>
              <w:t xml:space="preserve"> expertise</w:t>
            </w:r>
            <w:r w:rsidRPr="00E17FBA">
              <w:rPr>
                <w:rFonts w:cs="Arial"/>
                <w:szCs w:val="20"/>
              </w:rPr>
              <w:t xml:space="preserve">. These definitions are not meant to be restrictive, nor are they necessarily defined by departmental affiliations. What is important is </w:t>
            </w:r>
            <w:r w:rsidR="00F563C4">
              <w:rPr>
                <w:rFonts w:cs="Arial"/>
                <w:szCs w:val="20"/>
              </w:rPr>
              <w:t xml:space="preserve">that the student is </w:t>
            </w:r>
            <w:r w:rsidRPr="00E17FBA">
              <w:rPr>
                <w:rFonts w:cs="Arial"/>
                <w:szCs w:val="20"/>
              </w:rPr>
              <w:t>expos</w:t>
            </w:r>
            <w:r>
              <w:rPr>
                <w:rFonts w:cs="Arial"/>
                <w:szCs w:val="20"/>
              </w:rPr>
              <w:t>ed to cross-institutional research.</w:t>
            </w:r>
            <w:r w:rsidRPr="00E17FBA">
              <w:rPr>
                <w:rFonts w:cs="Arial"/>
                <w:szCs w:val="20"/>
              </w:rPr>
              <w:t xml:space="preserve"> It is expected that the student will typically undertake work in each research environment </w:t>
            </w:r>
            <w:r w:rsidR="00F563C4">
              <w:rPr>
                <w:rFonts w:cs="Arial"/>
                <w:szCs w:val="20"/>
              </w:rPr>
              <w:t xml:space="preserve">during </w:t>
            </w:r>
            <w:r w:rsidRPr="00E17FBA">
              <w:rPr>
                <w:rFonts w:cs="Arial"/>
                <w:szCs w:val="20"/>
              </w:rPr>
              <w:t>the</w:t>
            </w:r>
            <w:r w:rsidR="00F563C4">
              <w:rPr>
                <w:rFonts w:cs="Arial"/>
                <w:szCs w:val="20"/>
              </w:rPr>
              <w:t>ir</w:t>
            </w:r>
            <w:r w:rsidRPr="00E17FBA">
              <w:rPr>
                <w:rFonts w:cs="Arial"/>
                <w:szCs w:val="20"/>
              </w:rPr>
              <w:t xml:space="preserve"> stud</w:t>
            </w:r>
            <w:r w:rsidR="00F563C4">
              <w:rPr>
                <w:rFonts w:cs="Arial"/>
                <w:szCs w:val="20"/>
              </w:rPr>
              <w:t>ies</w:t>
            </w:r>
            <w:r w:rsidRPr="00E17FBA">
              <w:rPr>
                <w:rFonts w:cs="Arial"/>
                <w:szCs w:val="20"/>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0B00520" w14:textId="492DDC93" w:rsidR="00FB09F0" w:rsidRPr="00E17FBA" w:rsidRDefault="00FB09F0" w:rsidP="00FB09F0">
            <w:pPr>
              <w:rPr>
                <w:rFonts w:cs="Arial"/>
                <w:szCs w:val="20"/>
              </w:rPr>
            </w:pPr>
            <w:r w:rsidRPr="008D202A">
              <w:rPr>
                <w:rFonts w:ascii="Calibri" w:hAnsi="Calibri"/>
                <w:sz w:val="22"/>
              </w:rPr>
              <w:t xml:space="preserve"> (</w:t>
            </w:r>
            <w:r>
              <w:rPr>
                <w:rFonts w:ascii="Calibri" w:hAnsi="Calibri"/>
                <w:sz w:val="22"/>
              </w:rPr>
              <w:t>4</w:t>
            </w:r>
            <w:r w:rsidRPr="008D202A">
              <w:rPr>
                <w:rFonts w:ascii="Calibri" w:hAnsi="Calibri"/>
                <w:sz w:val="22"/>
              </w:rPr>
              <w:t>.0/</w:t>
            </w:r>
            <w:r>
              <w:rPr>
                <w:rFonts w:ascii="Calibri" w:hAnsi="Calibri"/>
                <w:sz w:val="22"/>
              </w:rPr>
              <w:t>6</w:t>
            </w:r>
            <w:r w:rsidRPr="008D202A">
              <w:rPr>
                <w:rFonts w:ascii="Calibri" w:hAnsi="Calibri"/>
                <w:sz w:val="22"/>
              </w:rPr>
              <w:t>.0)</w:t>
            </w:r>
          </w:p>
        </w:tc>
      </w:tr>
      <w:tr w:rsidR="00AE5857" w:rsidRPr="00E45E2D" w14:paraId="07B390F5" w14:textId="77777777" w:rsidTr="00885781">
        <w:trPr>
          <w:cantSplit/>
          <w:trHeight w:val="1041"/>
        </w:trPr>
        <w:tc>
          <w:tcPr>
            <w:tcW w:w="181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DDDDD"/>
          </w:tcPr>
          <w:p w14:paraId="1A828708" w14:textId="78A81D97" w:rsidR="00AE5857" w:rsidRPr="00E17FBA" w:rsidRDefault="00AE5857" w:rsidP="00E17FBA">
            <w:pPr>
              <w:rPr>
                <w:rFonts w:cs="Arial"/>
                <w:szCs w:val="20"/>
              </w:rPr>
            </w:pPr>
            <w:r w:rsidRPr="00E17FBA">
              <w:rPr>
                <w:rFonts w:cs="Arial"/>
                <w:szCs w:val="20"/>
              </w:rPr>
              <w:lastRenderedPageBreak/>
              <w:t>Feasibility and Suitability</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C39498" w14:textId="56E7D587" w:rsidR="00134AF6" w:rsidRDefault="00942D79" w:rsidP="00134AF6">
            <w:pPr>
              <w:rPr>
                <w:rFonts w:cs="Arial"/>
                <w:bCs/>
                <w:szCs w:val="20"/>
              </w:rPr>
            </w:pPr>
            <w:r>
              <w:rPr>
                <w:rFonts w:cs="Arial"/>
                <w:bCs/>
                <w:szCs w:val="20"/>
              </w:rPr>
              <w:t>CRUK CSC-ICB CDT</w:t>
            </w:r>
            <w:r w:rsidR="00134AF6">
              <w:rPr>
                <w:rFonts w:cs="Arial"/>
                <w:bCs/>
                <w:szCs w:val="20"/>
              </w:rPr>
              <w:t xml:space="preserve"> </w:t>
            </w:r>
            <w:r w:rsidR="00134AF6" w:rsidRPr="00E17FBA">
              <w:rPr>
                <w:rFonts w:cs="Arial"/>
                <w:bCs/>
                <w:szCs w:val="20"/>
              </w:rPr>
              <w:t xml:space="preserve">studentships are fully funded for </w:t>
            </w:r>
            <w:r w:rsidR="00134AF6">
              <w:rPr>
                <w:rFonts w:cs="Arial"/>
                <w:bCs/>
                <w:szCs w:val="20"/>
              </w:rPr>
              <w:t>4 years</w:t>
            </w:r>
            <w:r w:rsidR="00134AF6" w:rsidRPr="00E17FBA">
              <w:rPr>
                <w:rFonts w:cs="Arial"/>
                <w:bCs/>
                <w:szCs w:val="20"/>
              </w:rPr>
              <w:t xml:space="preserve">. </w:t>
            </w:r>
          </w:p>
          <w:p w14:paraId="1F07451D" w14:textId="77777777" w:rsidR="00B84216" w:rsidRDefault="00B84216" w:rsidP="00134AF6">
            <w:pPr>
              <w:rPr>
                <w:rFonts w:cs="Arial"/>
                <w:bCs/>
                <w:szCs w:val="20"/>
              </w:rPr>
            </w:pPr>
          </w:p>
          <w:p w14:paraId="2D9B480A" w14:textId="492BE412" w:rsidR="00B84216" w:rsidRDefault="00B84216" w:rsidP="00134AF6">
            <w:pPr>
              <w:rPr>
                <w:rFonts w:cs="Arial"/>
                <w:bCs/>
                <w:szCs w:val="20"/>
              </w:rPr>
            </w:pPr>
            <w:r>
              <w:rPr>
                <w:rFonts w:cs="Arial"/>
                <w:bCs/>
                <w:szCs w:val="20"/>
              </w:rPr>
              <w:t xml:space="preserve">Proposals should include information on the research structure and availability of resources and equipment </w:t>
            </w:r>
            <w:r w:rsidR="00825EE7">
              <w:rPr>
                <w:rFonts w:cs="Arial"/>
                <w:bCs/>
                <w:szCs w:val="20"/>
              </w:rPr>
              <w:t xml:space="preserve">available </w:t>
            </w:r>
            <w:r>
              <w:rPr>
                <w:rFonts w:cs="Arial"/>
                <w:bCs/>
                <w:szCs w:val="20"/>
              </w:rPr>
              <w:t xml:space="preserve">for the studentship and how these will be accessed, including whether this is by a collaboration. Proposals should also highlight the supervisors’ </w:t>
            </w:r>
            <w:r w:rsidR="00825EE7">
              <w:rPr>
                <w:rFonts w:cs="Arial"/>
                <w:bCs/>
                <w:szCs w:val="20"/>
              </w:rPr>
              <w:t xml:space="preserve">relevant </w:t>
            </w:r>
            <w:r>
              <w:rPr>
                <w:rFonts w:cs="Arial"/>
                <w:bCs/>
                <w:szCs w:val="20"/>
              </w:rPr>
              <w:t>expertise in delivering the proposed studentship.</w:t>
            </w:r>
          </w:p>
          <w:p w14:paraId="4E285BD7" w14:textId="77777777" w:rsidR="00134AF6" w:rsidRDefault="00134AF6" w:rsidP="00134AF6"/>
          <w:p w14:paraId="7D583206" w14:textId="33D96600" w:rsidR="00134AF6" w:rsidRDefault="00134AF6" w:rsidP="00134AF6">
            <w:r>
              <w:t xml:space="preserve">If the proposed project builds on a previously funded </w:t>
            </w:r>
            <w:r w:rsidR="00942D79">
              <w:t>s</w:t>
            </w:r>
            <w:r>
              <w:t>tudentship</w:t>
            </w:r>
            <w:r w:rsidR="00825EE7">
              <w:t>,</w:t>
            </w:r>
            <w:r>
              <w:t xml:space="preserve"> you must include details of the innovation that has been </w:t>
            </w:r>
            <w:r w:rsidRPr="000003D1">
              <w:rPr>
                <w:b/>
              </w:rPr>
              <w:t>successfully</w:t>
            </w:r>
            <w:r>
              <w:t xml:space="preserve"> achieved to date and how the new studentship pushes this forward through innovation in the physical sciences.</w:t>
            </w:r>
          </w:p>
          <w:p w14:paraId="3B84181A" w14:textId="77777777" w:rsidR="00134AF6" w:rsidRDefault="00134AF6" w:rsidP="00134AF6"/>
          <w:p w14:paraId="559D641A" w14:textId="77777777" w:rsidR="00134AF6" w:rsidRDefault="00134AF6" w:rsidP="00134AF6">
            <w:r>
              <w:t>OR</w:t>
            </w:r>
          </w:p>
          <w:p w14:paraId="12161E4D" w14:textId="77777777" w:rsidR="00134AF6" w:rsidRDefault="00134AF6" w:rsidP="00134AF6"/>
          <w:p w14:paraId="22DD08A4" w14:textId="594504CA" w:rsidR="00AE5857" w:rsidRPr="000003D1" w:rsidRDefault="00134AF6" w:rsidP="00F72070">
            <w:r>
              <w:t>If the suggested technology is completely new, please explain why you think the proposed research will be successful and include a discussion of a risk mitigation plan (“plan B for the student”)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4A1367A" w14:textId="2A135BE1" w:rsidR="00AE5857" w:rsidRPr="00E17FBA" w:rsidRDefault="002761D5" w:rsidP="00365DE4">
            <w:pPr>
              <w:rPr>
                <w:rFonts w:cs="Arial"/>
                <w:bCs/>
                <w:szCs w:val="20"/>
              </w:rPr>
            </w:pPr>
            <w:r>
              <w:rPr>
                <w:rFonts w:ascii="Calibri" w:hAnsi="Calibri"/>
                <w:sz w:val="22"/>
              </w:rPr>
              <w:t>(</w:t>
            </w:r>
            <w:r w:rsidR="00365DE4">
              <w:rPr>
                <w:rFonts w:ascii="Calibri" w:hAnsi="Calibri"/>
                <w:sz w:val="22"/>
              </w:rPr>
              <w:t>5</w:t>
            </w:r>
            <w:r w:rsidRPr="008D202A">
              <w:rPr>
                <w:rFonts w:ascii="Calibri" w:hAnsi="Calibri"/>
                <w:sz w:val="22"/>
              </w:rPr>
              <w:t>.0/</w:t>
            </w:r>
            <w:r w:rsidR="00365DE4">
              <w:rPr>
                <w:rFonts w:ascii="Calibri" w:hAnsi="Calibri"/>
                <w:sz w:val="22"/>
              </w:rPr>
              <w:t>10</w:t>
            </w:r>
            <w:r w:rsidRPr="008D202A">
              <w:rPr>
                <w:rFonts w:ascii="Calibri" w:hAnsi="Calibri"/>
                <w:sz w:val="22"/>
              </w:rPr>
              <w:t>.0)</w:t>
            </w:r>
          </w:p>
        </w:tc>
      </w:tr>
      <w:tr w:rsidR="00B84216" w:rsidRPr="00E45E2D" w14:paraId="0D758A24" w14:textId="77777777" w:rsidTr="00885781">
        <w:trPr>
          <w:cantSplit/>
          <w:trHeight w:val="1041"/>
        </w:trPr>
        <w:tc>
          <w:tcPr>
            <w:tcW w:w="181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DDDDD"/>
          </w:tcPr>
          <w:p w14:paraId="0FD24A58" w14:textId="79A9C147" w:rsidR="00B84216" w:rsidRPr="00E17FBA" w:rsidRDefault="00B84216" w:rsidP="00B84216">
            <w:pPr>
              <w:rPr>
                <w:rFonts w:cs="Arial"/>
                <w:szCs w:val="20"/>
              </w:rPr>
            </w:pPr>
            <w:r w:rsidRPr="008D3610">
              <w:rPr>
                <w:rFonts w:cs="Arial"/>
                <w:szCs w:val="20"/>
              </w:rPr>
              <w:t>Responsible Research Innovation</w:t>
            </w:r>
            <w:r>
              <w:rPr>
                <w:rFonts w:cs="Arial"/>
                <w:szCs w:val="20"/>
              </w:rPr>
              <w:t xml:space="preserve"> and sustainability</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7AD2A3" w14:textId="03EAF916" w:rsidR="00B84216" w:rsidRDefault="00B84216" w:rsidP="00B84216">
            <w:pPr>
              <w:rPr>
                <w:rFonts w:cs="Arial"/>
                <w:bCs/>
                <w:szCs w:val="20"/>
              </w:rPr>
            </w:pPr>
            <w:r w:rsidRPr="00575948">
              <w:rPr>
                <w:szCs w:val="20"/>
              </w:rPr>
              <w:t>Explain how the project was designed with Responsible Research and Innovation (RRI)</w:t>
            </w:r>
            <w:r>
              <w:rPr>
                <w:szCs w:val="20"/>
              </w:rPr>
              <w:t xml:space="preserve"> and sustainability</w:t>
            </w:r>
            <w:r w:rsidRPr="00575948">
              <w:rPr>
                <w:szCs w:val="20"/>
              </w:rPr>
              <w:t xml:space="preserve"> in mind. e.g. </w:t>
            </w:r>
            <w:r>
              <w:rPr>
                <w:szCs w:val="20"/>
              </w:rPr>
              <w:t>i</w:t>
            </w:r>
            <w:r w:rsidRPr="00575948">
              <w:rPr>
                <w:szCs w:val="20"/>
              </w:rPr>
              <w:t xml:space="preserve">s the topic </w:t>
            </w:r>
            <w:r w:rsidR="00825EE7">
              <w:rPr>
                <w:szCs w:val="20"/>
              </w:rPr>
              <w:t xml:space="preserve">that </w:t>
            </w:r>
            <w:r w:rsidRPr="00575948">
              <w:rPr>
                <w:szCs w:val="20"/>
              </w:rPr>
              <w:t xml:space="preserve">you are researching potentially controversial? Is there a significant ethical or moral component? </w:t>
            </w:r>
            <w:r>
              <w:rPr>
                <w:szCs w:val="20"/>
              </w:rPr>
              <w:t xml:space="preserve">How has the project been planned with environmental sustainability in mind? </w:t>
            </w:r>
            <w:r w:rsidRPr="00575948">
              <w:rPr>
                <w:szCs w:val="20"/>
              </w:rPr>
              <w:t xml:space="preserve">For more information on RRI please go to: </w:t>
            </w:r>
            <w:hyperlink r:id="rId11" w:history="1">
              <w:r w:rsidRPr="00026541">
                <w:rPr>
                  <w:rStyle w:val="Hyperlink"/>
                </w:rPr>
                <w:t>https://www.ukri.org/councils/epsrc/guidance-for-applicants/what-to-include-in-your-proposal/health-technologies-impact-and-translation-toolkit/research-integrity-in-healthcare-technologies/responsible-research-and-innovation/</w:t>
              </w:r>
            </w:hyperlink>
            <w:r>
              <w:t xml:space="preserve"> </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FEF6153" w14:textId="77777777" w:rsidR="00B84216" w:rsidRDefault="00B84216" w:rsidP="00B84216">
            <w:pPr>
              <w:rPr>
                <w:rFonts w:ascii="Calibri" w:hAnsi="Calibri"/>
                <w:sz w:val="22"/>
              </w:rPr>
            </w:pPr>
          </w:p>
        </w:tc>
      </w:tr>
      <w:tr w:rsidR="00B84216" w:rsidRPr="00E45E2D" w14:paraId="5E32ACB4" w14:textId="77777777" w:rsidTr="00885781">
        <w:trPr>
          <w:cantSplit/>
          <w:trHeight w:val="1041"/>
        </w:trPr>
        <w:tc>
          <w:tcPr>
            <w:tcW w:w="181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DDDDD"/>
          </w:tcPr>
          <w:p w14:paraId="0ECCC80C" w14:textId="50161AFA" w:rsidR="00B84216" w:rsidRPr="00E17FBA" w:rsidRDefault="00B84216" w:rsidP="00B84216">
            <w:pPr>
              <w:rPr>
                <w:rFonts w:cs="Arial"/>
                <w:szCs w:val="20"/>
              </w:rPr>
            </w:pPr>
            <w:r w:rsidRPr="00E17FBA">
              <w:rPr>
                <w:rFonts w:cs="Arial"/>
                <w:szCs w:val="20"/>
              </w:rPr>
              <w:t>Impact</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231AF2" w14:textId="551EB327" w:rsidR="00B84216" w:rsidRPr="00E17FBA" w:rsidRDefault="00B84216" w:rsidP="00B84216">
            <w:pPr>
              <w:jc w:val="both"/>
              <w:rPr>
                <w:rFonts w:cs="Arial"/>
                <w:bCs/>
                <w:szCs w:val="20"/>
              </w:rPr>
            </w:pPr>
            <w:r w:rsidRPr="007E446D">
              <w:t>Describe the intended impact</w:t>
            </w:r>
            <w:r>
              <w:t xml:space="preserve"> </w:t>
            </w:r>
            <w:r w:rsidRPr="007E446D">
              <w:t>/</w:t>
            </w:r>
            <w:r>
              <w:t xml:space="preserve"> </w:t>
            </w:r>
            <w:r w:rsidRPr="007E446D">
              <w:t xml:space="preserve">scientific merit that would arise from </w:t>
            </w:r>
            <w:r>
              <w:t xml:space="preserve">this </w:t>
            </w:r>
            <w:r w:rsidRPr="007E446D">
              <w:t>work.</w:t>
            </w:r>
            <w:r>
              <w:t xml:space="preserve"> This can include fundamental insight into e.g. identifying new approaches to </w:t>
            </w:r>
            <w:r w:rsidRPr="001C66CB">
              <w:t>monitor responses to therapy more accurately and more frequently, and with lower impact on patients’ lives</w:t>
            </w:r>
            <w:r w:rsidRPr="007E446D">
              <w:t xml:space="preserve"> </w:t>
            </w:r>
            <w:r>
              <w:t>and / or a</w:t>
            </w:r>
            <w:r w:rsidRPr="00802C95">
              <w:t>ny other added value that t</w:t>
            </w:r>
            <w:r>
              <w:t xml:space="preserve">he project can bring to the ICB CDT and CSC, such as outreach, </w:t>
            </w:r>
            <w:r w:rsidRPr="00802C95">
              <w:t xml:space="preserve">new collaborations </w:t>
            </w:r>
            <w:r>
              <w:t>(</w:t>
            </w:r>
            <w:r w:rsidRPr="00802C95">
              <w:t xml:space="preserve">with </w:t>
            </w:r>
            <w:r w:rsidR="00171C72">
              <w:t>industry</w:t>
            </w:r>
            <w:r>
              <w:t>)</w:t>
            </w:r>
            <w:r w:rsidRPr="00802C95">
              <w:t xml:space="preserve"> and follow-on funding.</w:t>
            </w:r>
            <w:r>
              <w:t xml:space="preserve"> Indicate the timeframe for the achievements listed in your impact statement.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ACDA4A9" w14:textId="47EAC3AA" w:rsidR="00B84216" w:rsidRDefault="00B84216" w:rsidP="00B84216">
            <w:pPr>
              <w:rPr>
                <w:rFonts w:ascii="Calibri" w:hAnsi="Calibri"/>
                <w:sz w:val="22"/>
              </w:rPr>
            </w:pPr>
            <w:r>
              <w:rPr>
                <w:rFonts w:ascii="Calibri" w:hAnsi="Calibri"/>
                <w:sz w:val="22"/>
              </w:rPr>
              <w:t>(2.5</w:t>
            </w:r>
            <w:r w:rsidRPr="008D202A">
              <w:rPr>
                <w:rFonts w:ascii="Calibri" w:hAnsi="Calibri"/>
                <w:sz w:val="22"/>
              </w:rPr>
              <w:t>/</w:t>
            </w:r>
            <w:r>
              <w:rPr>
                <w:rFonts w:ascii="Calibri" w:hAnsi="Calibri"/>
                <w:sz w:val="22"/>
              </w:rPr>
              <w:t>4</w:t>
            </w:r>
            <w:r w:rsidRPr="008D202A">
              <w:rPr>
                <w:rFonts w:ascii="Calibri" w:hAnsi="Calibri"/>
                <w:sz w:val="22"/>
              </w:rPr>
              <w:t xml:space="preserve">.0) </w:t>
            </w:r>
          </w:p>
        </w:tc>
      </w:tr>
      <w:tr w:rsidR="00B84216" w:rsidRPr="00E45E2D" w14:paraId="34433A95" w14:textId="77777777" w:rsidTr="00885781">
        <w:trPr>
          <w:cantSplit/>
          <w:trHeight w:val="1041"/>
        </w:trPr>
        <w:tc>
          <w:tcPr>
            <w:tcW w:w="181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DDDDD"/>
          </w:tcPr>
          <w:p w14:paraId="0EB13D66" w14:textId="553A060C" w:rsidR="00B84216" w:rsidRPr="008D3610" w:rsidRDefault="00B84216" w:rsidP="00B84216">
            <w:pPr>
              <w:rPr>
                <w:rFonts w:cs="Arial"/>
                <w:szCs w:val="20"/>
              </w:rPr>
            </w:pPr>
            <w:r>
              <w:rPr>
                <w:rFonts w:cs="Arial"/>
                <w:szCs w:val="20"/>
              </w:rPr>
              <w:t>Lab of the Future</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8D308C" w14:textId="3309284C" w:rsidR="00B84216" w:rsidRPr="000A5CEA" w:rsidRDefault="00B84216" w:rsidP="00B84216">
            <w:pPr>
              <w:jc w:val="both"/>
              <w:rPr>
                <w:szCs w:val="20"/>
              </w:rPr>
            </w:pPr>
            <w:r w:rsidRPr="00575948">
              <w:rPr>
                <w:szCs w:val="20"/>
              </w:rPr>
              <w:t xml:space="preserve">Describe how the project and student training therein is aligned with </w:t>
            </w:r>
            <w:r>
              <w:rPr>
                <w:szCs w:val="20"/>
              </w:rPr>
              <w:t xml:space="preserve">Lab of the Future / </w:t>
            </w:r>
            <w:r w:rsidRPr="00575948">
              <w:rPr>
                <w:szCs w:val="20"/>
              </w:rPr>
              <w:t xml:space="preserve">industry 4.0 technologies. These could include but are not restricted to automation, additive manufacturing / 3D printing, AI, machine learning, augmented reality, cloud computing, big data and analytics and Internet of Things. </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38C3112" w14:textId="431F19EC" w:rsidR="00B84216" w:rsidRDefault="00B84216" w:rsidP="00B84216">
            <w:pPr>
              <w:rPr>
                <w:rFonts w:ascii="Calibri" w:hAnsi="Calibri"/>
                <w:sz w:val="22"/>
              </w:rPr>
            </w:pPr>
            <w:r>
              <w:rPr>
                <w:rFonts w:ascii="Calibri" w:hAnsi="Calibri"/>
                <w:sz w:val="22"/>
              </w:rPr>
              <w:t>(3.0/5.0)</w:t>
            </w:r>
          </w:p>
        </w:tc>
      </w:tr>
      <w:tr w:rsidR="00B84216" w:rsidRPr="00E45E2D" w14:paraId="40DCB194" w14:textId="77777777">
        <w:trPr>
          <w:cantSplit/>
          <w:trHeight w:val="1002"/>
        </w:trPr>
        <w:tc>
          <w:tcPr>
            <w:tcW w:w="1816" w:type="dxa"/>
            <w:tcBorders>
              <w:top w:val="single" w:sz="4" w:space="0" w:color="D9D9D9" w:themeColor="background1" w:themeShade="D9"/>
              <w:bottom w:val="single" w:sz="4" w:space="0" w:color="auto"/>
              <w:right w:val="single" w:sz="4" w:space="0" w:color="D9D9D9" w:themeColor="background1" w:themeShade="D9"/>
            </w:tcBorders>
            <w:shd w:val="clear" w:color="auto" w:fill="DDDDDD"/>
            <w:vAlign w:val="center"/>
          </w:tcPr>
          <w:p w14:paraId="705B44DB" w14:textId="77777777" w:rsidR="00B84216" w:rsidRDefault="00B84216" w:rsidP="00B84216">
            <w:pPr>
              <w:rPr>
                <w:b/>
              </w:rPr>
            </w:pPr>
            <w:r w:rsidRPr="00AE5857">
              <w:rPr>
                <w:b/>
              </w:rPr>
              <w:t>Please note the different weighting and threshold of each requirement</w:t>
            </w:r>
            <w:r>
              <w:rPr>
                <w:b/>
              </w:rPr>
              <w:t>!</w:t>
            </w:r>
          </w:p>
          <w:p w14:paraId="59184FE7" w14:textId="146135D7" w:rsidR="00B84216" w:rsidRPr="00E17FBA" w:rsidRDefault="00B84216" w:rsidP="00B84216">
            <w:pPr>
              <w:rPr>
                <w:rFonts w:cs="Arial"/>
                <w:szCs w:val="20"/>
              </w:rPr>
            </w:pPr>
          </w:p>
        </w:tc>
        <w:tc>
          <w:tcPr>
            <w:tcW w:w="7513" w:type="dxa"/>
            <w:tcBorders>
              <w:top w:val="single" w:sz="4" w:space="0" w:color="D9D9D9" w:themeColor="background1" w:themeShade="D9"/>
              <w:left w:val="single" w:sz="4" w:space="0" w:color="D9D9D9" w:themeColor="background1" w:themeShade="D9"/>
              <w:bottom w:val="single" w:sz="4" w:space="0" w:color="auto"/>
            </w:tcBorders>
            <w:shd w:val="clear" w:color="auto" w:fill="DDDDDD"/>
            <w:vAlign w:val="center"/>
          </w:tcPr>
          <w:p w14:paraId="14BE3AF2" w14:textId="38798651" w:rsidR="00B84216" w:rsidRPr="00E17FBA" w:rsidRDefault="00B84216" w:rsidP="00B84216">
            <w:pPr>
              <w:jc w:val="right"/>
              <w:rPr>
                <w:rFonts w:cs="Arial"/>
                <w:szCs w:val="20"/>
              </w:rPr>
            </w:pPr>
            <w:r>
              <w:rPr>
                <w:b/>
              </w:rPr>
              <w:t>Maximum Score: 50</w:t>
            </w:r>
          </w:p>
        </w:tc>
        <w:tc>
          <w:tcPr>
            <w:tcW w:w="1559" w:type="dxa"/>
          </w:tcPr>
          <w:p w14:paraId="60E80A36" w14:textId="2A33C406" w:rsidR="00B84216" w:rsidRPr="007E446D" w:rsidRDefault="00B84216" w:rsidP="00B84216"/>
        </w:tc>
      </w:tr>
      <w:tr w:rsidR="00B84216" w:rsidRPr="00E45E2D" w14:paraId="20F47679" w14:textId="77777777" w:rsidTr="008D3610">
        <w:trPr>
          <w:cantSplit/>
          <w:trHeight w:val="473"/>
        </w:trPr>
        <w:tc>
          <w:tcPr>
            <w:tcW w:w="9329" w:type="dxa"/>
            <w:gridSpan w:val="2"/>
            <w:tcBorders>
              <w:top w:val="single" w:sz="4" w:space="0" w:color="D9D9D9" w:themeColor="background1" w:themeShade="D9"/>
              <w:bottom w:val="single" w:sz="4" w:space="0" w:color="auto"/>
              <w:right w:val="single" w:sz="4" w:space="0" w:color="D9D9D9" w:themeColor="background1" w:themeShade="D9"/>
            </w:tcBorders>
            <w:shd w:val="clear" w:color="auto" w:fill="DDDDDD"/>
            <w:vAlign w:val="center"/>
          </w:tcPr>
          <w:p w14:paraId="6D954D2F" w14:textId="6E3C63D2" w:rsidR="00B84216" w:rsidRPr="00AE5857" w:rsidRDefault="00B84216" w:rsidP="00B84216">
            <w:pPr>
              <w:rPr>
                <w:b/>
              </w:rPr>
            </w:pPr>
          </w:p>
        </w:tc>
        <w:tc>
          <w:tcPr>
            <w:tcW w:w="1559" w:type="dxa"/>
            <w:tcBorders>
              <w:top w:val="single" w:sz="4" w:space="0" w:color="D9D9D9" w:themeColor="background1" w:themeShade="D9"/>
              <w:left w:val="single" w:sz="4" w:space="0" w:color="D9D9D9" w:themeColor="background1" w:themeShade="D9"/>
              <w:bottom w:val="single" w:sz="4" w:space="0" w:color="auto"/>
            </w:tcBorders>
            <w:shd w:val="clear" w:color="auto" w:fill="DDDDDD"/>
            <w:vAlign w:val="center"/>
          </w:tcPr>
          <w:p w14:paraId="13BEFCC9" w14:textId="7DC1C056" w:rsidR="00B84216" w:rsidRPr="00AE5857" w:rsidRDefault="00B84216" w:rsidP="00B84216">
            <w:pPr>
              <w:rPr>
                <w:b/>
              </w:rPr>
            </w:pPr>
          </w:p>
        </w:tc>
      </w:tr>
    </w:tbl>
    <w:p w14:paraId="5D71D66C" w14:textId="77777777" w:rsidR="003B552D" w:rsidRDefault="003B552D" w:rsidP="00C811A3"/>
    <w:p w14:paraId="5AD78CF7" w14:textId="77777777" w:rsidR="00A0098C" w:rsidRDefault="00A0098C" w:rsidP="00C811A3"/>
    <w:tbl>
      <w:tblPr>
        <w:tblW w:w="10888" w:type="dxa"/>
        <w:tblBorders>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2100"/>
        <w:gridCol w:w="8788"/>
      </w:tblGrid>
      <w:tr w:rsidR="00A0098C" w:rsidRPr="00E80F4B" w14:paraId="1662A414" w14:textId="77777777" w:rsidTr="006F0090">
        <w:trPr>
          <w:trHeight w:val="432"/>
          <w:tblHeader/>
        </w:trPr>
        <w:tc>
          <w:tcPr>
            <w:tcW w:w="10888" w:type="dxa"/>
            <w:gridSpan w:val="2"/>
            <w:tcBorders>
              <w:top w:val="nil"/>
              <w:bottom w:val="nil"/>
              <w:right w:val="nil"/>
            </w:tcBorders>
            <w:shd w:val="clear" w:color="auto" w:fill="404040" w:themeFill="text1" w:themeFillTint="BF"/>
          </w:tcPr>
          <w:p w14:paraId="1A47C376" w14:textId="77777777" w:rsidR="00A0098C" w:rsidRPr="00762493" w:rsidRDefault="00A0098C" w:rsidP="00A0098C">
            <w:pPr>
              <w:pStyle w:val="Heading3"/>
              <w:rPr>
                <w:color w:val="FFFFFF" w:themeColor="background1"/>
                <w:sz w:val="20"/>
                <w:szCs w:val="20"/>
              </w:rPr>
            </w:pPr>
            <w:r w:rsidRPr="00762493">
              <w:rPr>
                <w:color w:val="FFFFFF" w:themeColor="background1"/>
                <w:sz w:val="20"/>
                <w:szCs w:val="20"/>
              </w:rPr>
              <w:lastRenderedPageBreak/>
              <w:t>APPLICATION AND REVIEW PROCESS</w:t>
            </w:r>
          </w:p>
          <w:p w14:paraId="4E2256A4" w14:textId="77777777" w:rsidR="00A0098C" w:rsidRPr="00E80F4B" w:rsidRDefault="00A0098C" w:rsidP="00A0098C">
            <w:pPr>
              <w:pStyle w:val="Heading5"/>
              <w:rPr>
                <w:sz w:val="18"/>
              </w:rPr>
            </w:pPr>
          </w:p>
        </w:tc>
      </w:tr>
      <w:tr w:rsidR="00A0098C" w:rsidRPr="00E80F4B" w14:paraId="3F6E0FB9" w14:textId="77777777" w:rsidTr="00885781">
        <w:trPr>
          <w:trHeight w:val="1944"/>
        </w:trPr>
        <w:tc>
          <w:tcPr>
            <w:tcW w:w="2100" w:type="dxa"/>
            <w:tcBorders>
              <w:top w:val="nil"/>
              <w:bottom w:val="nil"/>
              <w:right w:val="nil"/>
            </w:tcBorders>
            <w:shd w:val="clear" w:color="auto" w:fill="D9D9D9" w:themeFill="background1" w:themeFillShade="D9"/>
          </w:tcPr>
          <w:p w14:paraId="613D4637" w14:textId="77777777" w:rsidR="00A0098C" w:rsidRPr="00E17FBA" w:rsidRDefault="00A0098C" w:rsidP="00A0098C">
            <w:pPr>
              <w:pStyle w:val="NormalWeb"/>
              <w:jc w:val="left"/>
              <w:rPr>
                <w:rFonts w:ascii="Arial" w:hAnsi="Arial"/>
                <w:sz w:val="20"/>
                <w:szCs w:val="20"/>
              </w:rPr>
            </w:pPr>
            <w:r w:rsidRPr="00E17FBA">
              <w:rPr>
                <w:rFonts w:ascii="Arial" w:hAnsi="Arial"/>
                <w:sz w:val="20"/>
                <w:szCs w:val="20"/>
              </w:rPr>
              <w:t>How to apply</w:t>
            </w:r>
          </w:p>
        </w:tc>
        <w:tc>
          <w:tcPr>
            <w:tcW w:w="8788" w:type="dxa"/>
            <w:tcBorders>
              <w:top w:val="nil"/>
              <w:left w:val="nil"/>
              <w:bottom w:val="nil"/>
            </w:tcBorders>
            <w:shd w:val="clear" w:color="auto" w:fill="auto"/>
          </w:tcPr>
          <w:p w14:paraId="2349AD1A" w14:textId="660BD579" w:rsidR="00BB495C" w:rsidRPr="003B552D" w:rsidRDefault="00BB495C" w:rsidP="00BB495C">
            <w:pPr>
              <w:autoSpaceDE w:val="0"/>
              <w:autoSpaceDN w:val="0"/>
              <w:adjustRightInd w:val="0"/>
              <w:rPr>
                <w:rFonts w:cs="Arial"/>
                <w:szCs w:val="20"/>
              </w:rPr>
            </w:pPr>
            <w:r w:rsidRPr="003B552D">
              <w:rPr>
                <w:rFonts w:cs="Arial"/>
                <w:szCs w:val="20"/>
              </w:rPr>
              <w:t>The awards will be made based on written applications to the ICB</w:t>
            </w:r>
            <w:r w:rsidR="002C0299">
              <w:rPr>
                <w:rFonts w:cs="Arial"/>
                <w:szCs w:val="20"/>
              </w:rPr>
              <w:t xml:space="preserve"> and CSC</w:t>
            </w:r>
            <w:r w:rsidRPr="003B552D">
              <w:rPr>
                <w:rFonts w:cs="Arial"/>
                <w:szCs w:val="20"/>
              </w:rPr>
              <w:t>. Applications must be made using the separate application form provided.</w:t>
            </w:r>
          </w:p>
          <w:p w14:paraId="5C827883" w14:textId="77777777" w:rsidR="00BB495C" w:rsidRPr="003B552D" w:rsidRDefault="00BB495C" w:rsidP="00BB495C">
            <w:pPr>
              <w:autoSpaceDE w:val="0"/>
              <w:autoSpaceDN w:val="0"/>
              <w:adjustRightInd w:val="0"/>
              <w:rPr>
                <w:rFonts w:cs="Arial"/>
                <w:szCs w:val="20"/>
              </w:rPr>
            </w:pPr>
            <w:r w:rsidRPr="003B552D">
              <w:rPr>
                <w:rFonts w:cs="Arial"/>
                <w:szCs w:val="20"/>
              </w:rPr>
              <w:t xml:space="preserve">When filling in the application form it is important to demonstrate that your proposed project meets all the criteria listed. Proposals should clearly outline the innovative aspect of the research counterbalanced by its achievability in terms of time and funds. </w:t>
            </w:r>
          </w:p>
          <w:p w14:paraId="14563107" w14:textId="6E20E750" w:rsidR="00BB495C" w:rsidRPr="003B552D" w:rsidRDefault="00BB495C" w:rsidP="00BB495C">
            <w:pPr>
              <w:autoSpaceDE w:val="0"/>
              <w:autoSpaceDN w:val="0"/>
              <w:adjustRightInd w:val="0"/>
              <w:rPr>
                <w:rFonts w:cs="Arial"/>
                <w:szCs w:val="20"/>
              </w:rPr>
            </w:pPr>
            <w:r w:rsidRPr="003B552D">
              <w:rPr>
                <w:rFonts w:cs="Arial"/>
                <w:szCs w:val="20"/>
              </w:rPr>
              <w:t xml:space="preserve"> </w:t>
            </w:r>
          </w:p>
          <w:p w14:paraId="3B62268F" w14:textId="15D76147" w:rsidR="00A0098C" w:rsidRPr="003B552D" w:rsidRDefault="00BB495C" w:rsidP="00BB495C">
            <w:pPr>
              <w:autoSpaceDE w:val="0"/>
              <w:autoSpaceDN w:val="0"/>
              <w:adjustRightInd w:val="0"/>
              <w:rPr>
                <w:rFonts w:cs="Arial"/>
                <w:szCs w:val="20"/>
              </w:rPr>
            </w:pPr>
            <w:r w:rsidRPr="003B552D">
              <w:rPr>
                <w:rFonts w:cs="Arial"/>
                <w:szCs w:val="20"/>
              </w:rPr>
              <w:t>With the award of a studentship, supervisors automatically become ICB</w:t>
            </w:r>
            <w:r w:rsidR="002C0299">
              <w:rPr>
                <w:rFonts w:cs="Arial"/>
                <w:szCs w:val="20"/>
              </w:rPr>
              <w:t xml:space="preserve"> and CSC</w:t>
            </w:r>
            <w:r w:rsidRPr="003B552D">
              <w:rPr>
                <w:rFonts w:cs="Arial"/>
                <w:szCs w:val="20"/>
              </w:rPr>
              <w:t xml:space="preserve"> members. Therefore, you </w:t>
            </w:r>
            <w:r>
              <w:rPr>
                <w:rFonts w:cs="Arial"/>
                <w:b/>
                <w:szCs w:val="20"/>
              </w:rPr>
              <w:t xml:space="preserve">will be expected to contribute to </w:t>
            </w:r>
            <w:r w:rsidR="00B90ACA">
              <w:rPr>
                <w:rFonts w:cs="Arial"/>
                <w:b/>
                <w:szCs w:val="20"/>
              </w:rPr>
              <w:t>ICB</w:t>
            </w:r>
            <w:r>
              <w:rPr>
                <w:rFonts w:cs="Arial"/>
                <w:b/>
                <w:szCs w:val="20"/>
              </w:rPr>
              <w:t xml:space="preserve"> </w:t>
            </w:r>
            <w:r w:rsidR="002C0299">
              <w:rPr>
                <w:rFonts w:cs="Arial"/>
                <w:b/>
                <w:szCs w:val="20"/>
              </w:rPr>
              <w:t xml:space="preserve">and CSC </w:t>
            </w:r>
            <w:r>
              <w:rPr>
                <w:rFonts w:cs="Arial"/>
                <w:b/>
                <w:szCs w:val="20"/>
              </w:rPr>
              <w:t xml:space="preserve">activities, examples of which can be found in </w:t>
            </w:r>
            <w:r w:rsidR="004F6ABD">
              <w:rPr>
                <w:rFonts w:cs="Arial"/>
                <w:b/>
                <w:szCs w:val="20"/>
              </w:rPr>
              <w:t xml:space="preserve">the </w:t>
            </w:r>
            <w:r>
              <w:rPr>
                <w:rFonts w:cs="Arial"/>
                <w:b/>
                <w:szCs w:val="20"/>
              </w:rPr>
              <w:t>Annex</w:t>
            </w:r>
            <w:r w:rsidR="004F6ABD">
              <w:rPr>
                <w:rFonts w:cs="Arial"/>
                <w:b/>
                <w:szCs w:val="20"/>
              </w:rPr>
              <w:t xml:space="preserve"> below</w:t>
            </w:r>
            <w:r>
              <w:rPr>
                <w:rFonts w:cs="Arial"/>
                <w:b/>
                <w:szCs w:val="20"/>
              </w:rPr>
              <w:t>.</w:t>
            </w:r>
          </w:p>
        </w:tc>
      </w:tr>
      <w:tr w:rsidR="00297623" w:rsidRPr="00E80F4B" w14:paraId="352314A2" w14:textId="77777777" w:rsidTr="00885781">
        <w:trPr>
          <w:trHeight w:val="816"/>
        </w:trPr>
        <w:tc>
          <w:tcPr>
            <w:tcW w:w="2100" w:type="dxa"/>
            <w:tcBorders>
              <w:top w:val="nil"/>
              <w:bottom w:val="nil"/>
              <w:right w:val="nil"/>
            </w:tcBorders>
            <w:shd w:val="clear" w:color="auto" w:fill="DDDDDD"/>
          </w:tcPr>
          <w:p w14:paraId="7C5DF988" w14:textId="77777777" w:rsidR="00297623" w:rsidRPr="00E17FBA" w:rsidRDefault="00297623" w:rsidP="00297623">
            <w:pPr>
              <w:pStyle w:val="NormalWeb"/>
              <w:jc w:val="left"/>
              <w:rPr>
                <w:rFonts w:ascii="Arial" w:hAnsi="Arial"/>
                <w:sz w:val="20"/>
                <w:szCs w:val="20"/>
              </w:rPr>
            </w:pPr>
            <w:bookmarkStart w:id="3" w:name="_Toc376529148"/>
            <w:r w:rsidRPr="00E17FBA">
              <w:rPr>
                <w:rFonts w:ascii="Arial" w:hAnsi="Arial"/>
                <w:sz w:val="20"/>
                <w:szCs w:val="20"/>
              </w:rPr>
              <w:t>Page Limit and Font</w:t>
            </w:r>
            <w:bookmarkEnd w:id="3"/>
          </w:p>
        </w:tc>
        <w:tc>
          <w:tcPr>
            <w:tcW w:w="8788" w:type="dxa"/>
            <w:tcBorders>
              <w:top w:val="nil"/>
              <w:left w:val="nil"/>
              <w:bottom w:val="nil"/>
            </w:tcBorders>
            <w:shd w:val="clear" w:color="auto" w:fill="auto"/>
          </w:tcPr>
          <w:p w14:paraId="3C3AC1A1" w14:textId="21B61E3A" w:rsidR="00297623" w:rsidRPr="003B552D" w:rsidRDefault="00297623" w:rsidP="00297623">
            <w:pPr>
              <w:rPr>
                <w:rFonts w:cs="Arial"/>
                <w:szCs w:val="20"/>
              </w:rPr>
            </w:pPr>
            <w:r w:rsidRPr="003B552D">
              <w:rPr>
                <w:rFonts w:cs="Arial"/>
                <w:szCs w:val="20"/>
              </w:rPr>
              <w:t>Please complete your applicatio</w:t>
            </w:r>
            <w:r>
              <w:rPr>
                <w:rFonts w:cs="Arial"/>
                <w:szCs w:val="20"/>
              </w:rPr>
              <w:t>n by entering your text only</w:t>
            </w:r>
            <w:r w:rsidRPr="003B552D">
              <w:rPr>
                <w:rFonts w:cs="Arial"/>
                <w:szCs w:val="20"/>
              </w:rPr>
              <w:t xml:space="preserve"> into the </w:t>
            </w:r>
            <w:r>
              <w:rPr>
                <w:rFonts w:cs="Arial"/>
                <w:szCs w:val="20"/>
              </w:rPr>
              <w:t>tables in the word document a</w:t>
            </w:r>
            <w:r w:rsidRPr="003B552D">
              <w:rPr>
                <w:rFonts w:cs="Arial"/>
                <w:szCs w:val="20"/>
              </w:rPr>
              <w:t xml:space="preserve">nd restrict your </w:t>
            </w:r>
            <w:r>
              <w:rPr>
                <w:rFonts w:cs="Arial"/>
                <w:szCs w:val="20"/>
              </w:rPr>
              <w:t>“Assessed Criteria” part of the application form</w:t>
            </w:r>
            <w:r w:rsidRPr="003B552D">
              <w:rPr>
                <w:rFonts w:cs="Arial"/>
                <w:szCs w:val="20"/>
              </w:rPr>
              <w:t xml:space="preserve"> to the </w:t>
            </w:r>
            <w:r>
              <w:rPr>
                <w:rFonts w:cs="Arial"/>
                <w:szCs w:val="20"/>
              </w:rPr>
              <w:t>four</w:t>
            </w:r>
            <w:r w:rsidRPr="003B552D">
              <w:rPr>
                <w:rFonts w:cs="Arial"/>
                <w:szCs w:val="20"/>
              </w:rPr>
              <w:t>-page</w:t>
            </w:r>
            <w:r>
              <w:rPr>
                <w:rFonts w:cs="Arial"/>
                <w:szCs w:val="20"/>
              </w:rPr>
              <w:t xml:space="preserve"> limit</w:t>
            </w:r>
            <w:r w:rsidRPr="003B552D">
              <w:rPr>
                <w:rFonts w:cs="Arial"/>
                <w:szCs w:val="20"/>
              </w:rPr>
              <w:t>. Do not use a font less than 10 pt</w:t>
            </w:r>
            <w:r>
              <w:rPr>
                <w:rFonts w:cs="Arial"/>
                <w:szCs w:val="20"/>
              </w:rPr>
              <w:t xml:space="preserve"> Arial or change the margins / delete text from the boxes</w:t>
            </w:r>
            <w:r w:rsidRPr="003B552D">
              <w:rPr>
                <w:rFonts w:cs="Arial"/>
                <w:szCs w:val="20"/>
              </w:rPr>
              <w:t xml:space="preserve">. Note that we cannot consider applications longer than </w:t>
            </w:r>
            <w:r>
              <w:rPr>
                <w:rFonts w:cs="Arial"/>
                <w:szCs w:val="20"/>
              </w:rPr>
              <w:t>four</w:t>
            </w:r>
            <w:r w:rsidRPr="003B552D">
              <w:rPr>
                <w:rFonts w:cs="Arial"/>
                <w:szCs w:val="20"/>
              </w:rPr>
              <w:t xml:space="preserve"> pages</w:t>
            </w:r>
            <w:r>
              <w:rPr>
                <w:rFonts w:cs="Arial"/>
                <w:szCs w:val="20"/>
              </w:rPr>
              <w:t xml:space="preserve"> and in any other format than .doc or .docx</w:t>
            </w:r>
            <w:r w:rsidRPr="003B552D">
              <w:rPr>
                <w:rFonts w:cs="Arial"/>
                <w:szCs w:val="20"/>
              </w:rPr>
              <w:t>.</w:t>
            </w:r>
            <w:r>
              <w:rPr>
                <w:rFonts w:cs="Arial"/>
                <w:szCs w:val="20"/>
              </w:rPr>
              <w:t xml:space="preserve"> Annexes and additional tables are not allowed.</w:t>
            </w:r>
            <w:r w:rsidRPr="003B552D">
              <w:rPr>
                <w:rFonts w:cs="Arial"/>
                <w:szCs w:val="20"/>
              </w:rPr>
              <w:t xml:space="preserve"> </w:t>
            </w:r>
          </w:p>
        </w:tc>
      </w:tr>
      <w:tr w:rsidR="00A0098C" w:rsidRPr="00E80F4B" w14:paraId="4E97DD32" w14:textId="77777777" w:rsidTr="00885781">
        <w:trPr>
          <w:trHeight w:val="1393"/>
        </w:trPr>
        <w:tc>
          <w:tcPr>
            <w:tcW w:w="2100" w:type="dxa"/>
            <w:tcBorders>
              <w:top w:val="nil"/>
              <w:bottom w:val="nil"/>
              <w:right w:val="nil"/>
            </w:tcBorders>
            <w:shd w:val="clear" w:color="auto" w:fill="DDDDDD"/>
          </w:tcPr>
          <w:p w14:paraId="6EEC8502" w14:textId="77777777" w:rsidR="00A0098C" w:rsidRPr="003B552D" w:rsidRDefault="00A0098C" w:rsidP="00A0098C">
            <w:pPr>
              <w:pStyle w:val="NormalWeb"/>
              <w:jc w:val="left"/>
              <w:rPr>
                <w:rFonts w:ascii="Arial" w:hAnsi="Arial"/>
                <w:sz w:val="20"/>
                <w:szCs w:val="20"/>
              </w:rPr>
            </w:pPr>
            <w:r w:rsidRPr="003B552D">
              <w:rPr>
                <w:rFonts w:ascii="Arial" w:hAnsi="Arial"/>
                <w:sz w:val="20"/>
                <w:szCs w:val="20"/>
              </w:rPr>
              <w:t>Review and Award</w:t>
            </w:r>
          </w:p>
        </w:tc>
        <w:tc>
          <w:tcPr>
            <w:tcW w:w="8788" w:type="dxa"/>
            <w:tcBorders>
              <w:top w:val="nil"/>
              <w:left w:val="nil"/>
              <w:bottom w:val="nil"/>
            </w:tcBorders>
            <w:shd w:val="clear" w:color="auto" w:fill="auto"/>
          </w:tcPr>
          <w:p w14:paraId="55EA1690" w14:textId="300B572C" w:rsidR="004C074D" w:rsidRPr="00E548B3" w:rsidRDefault="004C074D" w:rsidP="004C074D">
            <w:pPr>
              <w:rPr>
                <w:rFonts w:cs="Arial"/>
                <w:szCs w:val="20"/>
              </w:rPr>
            </w:pPr>
            <w:r w:rsidRPr="003B552D">
              <w:rPr>
                <w:rFonts w:cs="Arial"/>
                <w:szCs w:val="20"/>
              </w:rPr>
              <w:t xml:space="preserve">Each proposal will be independently </w:t>
            </w:r>
            <w:r w:rsidRPr="001D6300">
              <w:rPr>
                <w:rFonts w:cs="Arial"/>
                <w:szCs w:val="20"/>
              </w:rPr>
              <w:t>scored by</w:t>
            </w:r>
            <w:r w:rsidR="00DA211A">
              <w:rPr>
                <w:rFonts w:cs="Arial"/>
                <w:szCs w:val="20"/>
              </w:rPr>
              <w:t xml:space="preserve"> CSC Training Committee members,</w:t>
            </w:r>
            <w:r w:rsidRPr="001D6300">
              <w:rPr>
                <w:rFonts w:cs="Arial"/>
                <w:szCs w:val="20"/>
              </w:rPr>
              <w:t xml:space="preserve"> academic and industrial members of the ICB research board whose expertise cuts across the full remit of the ICB CDT</w:t>
            </w:r>
            <w:r w:rsidR="002C0299">
              <w:rPr>
                <w:rFonts w:cs="Arial"/>
                <w:szCs w:val="20"/>
              </w:rPr>
              <w:t>, cancer biology and convergence research</w:t>
            </w:r>
            <w:r>
              <w:rPr>
                <w:rFonts w:cs="Arial"/>
                <w:szCs w:val="20"/>
              </w:rPr>
              <w:t>. A</w:t>
            </w:r>
            <w:r w:rsidRPr="00E548B3">
              <w:rPr>
                <w:rFonts w:cs="Arial"/>
                <w:szCs w:val="20"/>
              </w:rPr>
              <w:t>p</w:t>
            </w:r>
            <w:r w:rsidRPr="00E548B3">
              <w:rPr>
                <w:szCs w:val="20"/>
              </w:rPr>
              <w:t>plicants can suggest Imperial College academics that have the necessary expertise to review the application.</w:t>
            </w:r>
          </w:p>
          <w:p w14:paraId="2E6D4808" w14:textId="77777777" w:rsidR="004C074D" w:rsidRDefault="004C074D" w:rsidP="004C074D">
            <w:pPr>
              <w:rPr>
                <w:rFonts w:cs="Arial"/>
                <w:szCs w:val="20"/>
              </w:rPr>
            </w:pPr>
          </w:p>
          <w:p w14:paraId="677A017C" w14:textId="47C91307" w:rsidR="00A0098C" w:rsidRPr="003B552D" w:rsidRDefault="004C074D" w:rsidP="00104125">
            <w:pPr>
              <w:rPr>
                <w:rFonts w:cs="Arial"/>
                <w:szCs w:val="20"/>
              </w:rPr>
            </w:pPr>
            <w:r w:rsidRPr="00E548B3">
              <w:rPr>
                <w:rFonts w:cs="Arial"/>
                <w:szCs w:val="20"/>
              </w:rPr>
              <w:t>Following the ranking according to the scores from</w:t>
            </w:r>
            <w:r>
              <w:rPr>
                <w:rFonts w:cs="Arial"/>
                <w:szCs w:val="20"/>
              </w:rPr>
              <w:t xml:space="preserve"> the markers, each </w:t>
            </w:r>
            <w:r w:rsidRPr="003B552D">
              <w:rPr>
                <w:rFonts w:cs="Arial"/>
                <w:szCs w:val="20"/>
              </w:rPr>
              <w:t>studentship</w:t>
            </w:r>
            <w:r>
              <w:rPr>
                <w:rFonts w:cs="Arial"/>
                <w:szCs w:val="20"/>
              </w:rPr>
              <w:t xml:space="preserve"> application will be discussed</w:t>
            </w:r>
            <w:r w:rsidRPr="003B552D">
              <w:rPr>
                <w:rFonts w:cs="Arial"/>
                <w:szCs w:val="20"/>
              </w:rPr>
              <w:t xml:space="preserve"> in a moderation meeting</w:t>
            </w:r>
            <w:r>
              <w:rPr>
                <w:rFonts w:cs="Arial"/>
                <w:szCs w:val="20"/>
              </w:rPr>
              <w:t xml:space="preserve"> prior to finalising the ranking</w:t>
            </w:r>
            <w:r w:rsidR="00581212">
              <w:rPr>
                <w:rFonts w:cs="Arial"/>
                <w:szCs w:val="20"/>
              </w:rPr>
              <w:t xml:space="preserve"> and project selection</w:t>
            </w:r>
            <w:r w:rsidRPr="003B552D">
              <w:rPr>
                <w:rFonts w:cs="Arial"/>
                <w:szCs w:val="20"/>
              </w:rPr>
              <w:t>.</w:t>
            </w:r>
          </w:p>
        </w:tc>
      </w:tr>
      <w:tr w:rsidR="00D44F0E" w:rsidRPr="00E80F4B" w14:paraId="6BAC8559" w14:textId="77777777" w:rsidTr="002F4ABD">
        <w:trPr>
          <w:trHeight w:val="1493"/>
        </w:trPr>
        <w:tc>
          <w:tcPr>
            <w:tcW w:w="2100" w:type="dxa"/>
            <w:tcBorders>
              <w:top w:val="nil"/>
              <w:bottom w:val="nil"/>
              <w:right w:val="nil"/>
            </w:tcBorders>
            <w:shd w:val="clear" w:color="auto" w:fill="DDDDDD"/>
          </w:tcPr>
          <w:p w14:paraId="354A4BBE" w14:textId="77777777" w:rsidR="00D44F0E" w:rsidRPr="00EE60CD" w:rsidRDefault="00D44F0E" w:rsidP="00113EF9">
            <w:pPr>
              <w:pStyle w:val="NormalWeb"/>
              <w:jc w:val="left"/>
              <w:rPr>
                <w:rFonts w:ascii="Arial" w:hAnsi="Arial"/>
                <w:b/>
                <w:sz w:val="20"/>
                <w:szCs w:val="20"/>
              </w:rPr>
            </w:pPr>
            <w:r w:rsidRPr="00EE60CD">
              <w:rPr>
                <w:rFonts w:ascii="Arial" w:hAnsi="Arial"/>
                <w:b/>
                <w:sz w:val="20"/>
                <w:szCs w:val="20"/>
              </w:rPr>
              <w:t>Relevant Dates</w:t>
            </w:r>
          </w:p>
          <w:p w14:paraId="64FB214E" w14:textId="77777777" w:rsidR="00D44F0E" w:rsidRPr="003B552D" w:rsidRDefault="00D44F0E" w:rsidP="00A0098C">
            <w:pPr>
              <w:pStyle w:val="NormalWeb"/>
              <w:jc w:val="left"/>
              <w:rPr>
                <w:rFonts w:ascii="Arial" w:hAnsi="Arial"/>
                <w:sz w:val="20"/>
                <w:szCs w:val="20"/>
              </w:rPr>
            </w:pPr>
          </w:p>
        </w:tc>
        <w:tc>
          <w:tcPr>
            <w:tcW w:w="8788" w:type="dxa"/>
            <w:tcBorders>
              <w:top w:val="nil"/>
              <w:left w:val="nil"/>
              <w:bottom w:val="nil"/>
            </w:tcBorders>
            <w:shd w:val="clear" w:color="auto" w:fill="auto"/>
          </w:tcPr>
          <w:p w14:paraId="05AFF3B2" w14:textId="6A9D71BB" w:rsidR="008D0261" w:rsidRPr="003B552D" w:rsidRDefault="008D0261" w:rsidP="008D0261">
            <w:pPr>
              <w:rPr>
                <w:rFonts w:cs="Arial"/>
                <w:szCs w:val="20"/>
              </w:rPr>
            </w:pPr>
            <w:r w:rsidRPr="00303ACE">
              <w:rPr>
                <w:rFonts w:cs="Arial"/>
                <w:b/>
                <w:szCs w:val="20"/>
                <w:u w:val="single"/>
              </w:rPr>
              <w:t xml:space="preserve">APPLICATION DEADLINE: </w:t>
            </w:r>
            <w:r w:rsidRPr="003B552D">
              <w:rPr>
                <w:rFonts w:cs="Arial"/>
                <w:szCs w:val="20"/>
              </w:rPr>
              <w:t xml:space="preserve">Please </w:t>
            </w:r>
            <w:r>
              <w:rPr>
                <w:rFonts w:cs="Arial"/>
                <w:szCs w:val="20"/>
              </w:rPr>
              <w:t>email</w:t>
            </w:r>
            <w:r w:rsidRPr="003B552D">
              <w:rPr>
                <w:rFonts w:cs="Arial"/>
                <w:szCs w:val="20"/>
              </w:rPr>
              <w:t xml:space="preserve"> </w:t>
            </w:r>
            <w:r>
              <w:rPr>
                <w:rFonts w:cs="Arial"/>
                <w:szCs w:val="20"/>
              </w:rPr>
              <w:t xml:space="preserve">the </w:t>
            </w:r>
            <w:r w:rsidRPr="003B552D">
              <w:rPr>
                <w:rFonts w:cs="Arial"/>
                <w:szCs w:val="20"/>
              </w:rPr>
              <w:t xml:space="preserve">completed application form </w:t>
            </w:r>
            <w:r>
              <w:rPr>
                <w:rFonts w:cs="Arial"/>
                <w:szCs w:val="20"/>
              </w:rPr>
              <w:t>as .doc or .docx</w:t>
            </w:r>
            <w:r w:rsidRPr="003B552D">
              <w:rPr>
                <w:rFonts w:cs="Arial"/>
                <w:szCs w:val="20"/>
              </w:rPr>
              <w:t xml:space="preserve"> f</w:t>
            </w:r>
            <w:r>
              <w:rPr>
                <w:rFonts w:cs="Arial"/>
                <w:szCs w:val="20"/>
              </w:rPr>
              <w:t>ile</w:t>
            </w:r>
            <w:r w:rsidRPr="003B552D">
              <w:rPr>
                <w:rFonts w:cs="Arial"/>
                <w:szCs w:val="20"/>
              </w:rPr>
              <w:t xml:space="preserve"> to </w:t>
            </w:r>
            <w:r w:rsidR="003C561C" w:rsidRPr="003C561C">
              <w:rPr>
                <w:rFonts w:cs="Arial"/>
                <w:szCs w:val="20"/>
              </w:rPr>
              <w:t xml:space="preserve">ICB Admin </w:t>
            </w:r>
            <w:hyperlink r:id="rId12" w:history="1">
              <w:r w:rsidR="003C561C" w:rsidRPr="001B44AE">
                <w:rPr>
                  <w:rStyle w:val="Hyperlink"/>
                  <w:rFonts w:cs="Arial"/>
                  <w:szCs w:val="20"/>
                </w:rPr>
                <w:t>icbadmin@imperial.ac.uk</w:t>
              </w:r>
            </w:hyperlink>
            <w:r w:rsidRPr="003B552D">
              <w:rPr>
                <w:rFonts w:cs="Arial"/>
                <w:szCs w:val="20"/>
              </w:rPr>
              <w:t xml:space="preserve"> </w:t>
            </w:r>
            <w:r w:rsidR="002C0299">
              <w:rPr>
                <w:rFonts w:cs="Arial"/>
                <w:szCs w:val="20"/>
              </w:rPr>
              <w:t>and CSC team (</w:t>
            </w:r>
            <w:hyperlink r:id="rId13" w:history="1">
              <w:r w:rsidR="002C0299" w:rsidRPr="00F513C1">
                <w:rPr>
                  <w:rStyle w:val="Hyperlink"/>
                  <w:rFonts w:cs="Arial"/>
                  <w:szCs w:val="20"/>
                </w:rPr>
                <w:t>icr-imperial-convergence.centre@imperial.ac.uk</w:t>
              </w:r>
            </w:hyperlink>
            <w:r w:rsidR="002C0299">
              <w:rPr>
                <w:rFonts w:cs="Arial"/>
                <w:szCs w:val="20"/>
              </w:rPr>
              <w:t xml:space="preserve">) </w:t>
            </w:r>
            <w:r>
              <w:rPr>
                <w:rFonts w:cs="Arial"/>
                <w:szCs w:val="20"/>
              </w:rPr>
              <w:t>by</w:t>
            </w:r>
            <w:r w:rsidR="002C0299">
              <w:rPr>
                <w:rFonts w:cs="Arial"/>
                <w:b/>
                <w:szCs w:val="20"/>
              </w:rPr>
              <w:t xml:space="preserve"> </w:t>
            </w:r>
            <w:r w:rsidR="000D6457">
              <w:rPr>
                <w:rFonts w:cs="Arial"/>
                <w:b/>
                <w:szCs w:val="20"/>
              </w:rPr>
              <w:t>Wednesday 16</w:t>
            </w:r>
            <w:r w:rsidR="002C0299" w:rsidRPr="002C0299">
              <w:rPr>
                <w:rFonts w:cs="Arial"/>
                <w:b/>
                <w:szCs w:val="20"/>
                <w:vertAlign w:val="superscript"/>
              </w:rPr>
              <w:t>th</w:t>
            </w:r>
            <w:r w:rsidR="002C0299">
              <w:rPr>
                <w:rFonts w:cs="Arial"/>
                <w:b/>
                <w:szCs w:val="20"/>
              </w:rPr>
              <w:t xml:space="preserve"> October 2024, 5 pm</w:t>
            </w:r>
            <w:r w:rsidRPr="005916D7">
              <w:rPr>
                <w:rFonts w:cs="Arial"/>
                <w:b/>
                <w:szCs w:val="20"/>
              </w:rPr>
              <w:t>.</w:t>
            </w:r>
          </w:p>
          <w:p w14:paraId="4A24ADF5" w14:textId="77777777" w:rsidR="008D0261" w:rsidRDefault="008D0261" w:rsidP="008D0261">
            <w:pPr>
              <w:rPr>
                <w:rFonts w:cs="Arial"/>
                <w:szCs w:val="20"/>
              </w:rPr>
            </w:pPr>
          </w:p>
          <w:p w14:paraId="7C3275FA" w14:textId="77777777" w:rsidR="008D0261" w:rsidRPr="003B552D" w:rsidRDefault="008D0261" w:rsidP="008D0261">
            <w:pPr>
              <w:rPr>
                <w:rFonts w:cs="Arial"/>
                <w:szCs w:val="20"/>
              </w:rPr>
            </w:pPr>
          </w:p>
          <w:p w14:paraId="36E50031" w14:textId="77777777" w:rsidR="008D0261" w:rsidRDefault="008D0261" w:rsidP="008D0261">
            <w:pPr>
              <w:rPr>
                <w:rFonts w:cs="Arial"/>
                <w:szCs w:val="20"/>
              </w:rPr>
            </w:pPr>
            <w:r w:rsidRPr="003B552D">
              <w:rPr>
                <w:rFonts w:cs="Arial"/>
                <w:szCs w:val="20"/>
              </w:rPr>
              <w:t xml:space="preserve">Applicants will be informed as soon as possible after the </w:t>
            </w:r>
            <w:r>
              <w:rPr>
                <w:rFonts w:cs="Arial"/>
                <w:szCs w:val="20"/>
              </w:rPr>
              <w:t>reviewing process</w:t>
            </w:r>
            <w:r w:rsidRPr="003B552D">
              <w:rPr>
                <w:rFonts w:cs="Arial"/>
                <w:szCs w:val="20"/>
              </w:rPr>
              <w:t>.</w:t>
            </w:r>
          </w:p>
          <w:p w14:paraId="1139A646" w14:textId="52464E4F" w:rsidR="002F4ABD" w:rsidRPr="002828BA" w:rsidRDefault="002F4ABD" w:rsidP="002828BA">
            <w:pPr>
              <w:rPr>
                <w:rFonts w:cs="Arial"/>
                <w:szCs w:val="20"/>
              </w:rPr>
            </w:pPr>
          </w:p>
        </w:tc>
      </w:tr>
      <w:tr w:rsidR="00D44F0E" w:rsidRPr="00E80F4B" w14:paraId="2062EDE0" w14:textId="77777777" w:rsidTr="002F4ABD">
        <w:trPr>
          <w:trHeight w:val="544"/>
        </w:trPr>
        <w:tc>
          <w:tcPr>
            <w:tcW w:w="2100" w:type="dxa"/>
            <w:tcBorders>
              <w:top w:val="nil"/>
              <w:bottom w:val="single" w:sz="4" w:space="0" w:color="auto"/>
              <w:right w:val="nil"/>
            </w:tcBorders>
            <w:shd w:val="clear" w:color="auto" w:fill="DDDDDD"/>
          </w:tcPr>
          <w:p w14:paraId="330D9743" w14:textId="77777777" w:rsidR="00D44F0E" w:rsidRPr="003B552D" w:rsidRDefault="00D44F0E" w:rsidP="002F4ABD">
            <w:pPr>
              <w:pStyle w:val="NormalWeb"/>
              <w:jc w:val="left"/>
              <w:rPr>
                <w:rFonts w:ascii="Arial" w:hAnsi="Arial"/>
                <w:sz w:val="20"/>
                <w:szCs w:val="20"/>
              </w:rPr>
            </w:pPr>
            <w:bookmarkStart w:id="4" w:name="_Toc376529150"/>
            <w:r w:rsidRPr="003B552D">
              <w:rPr>
                <w:rFonts w:ascii="Arial" w:hAnsi="Arial"/>
                <w:sz w:val="20"/>
                <w:szCs w:val="20"/>
              </w:rPr>
              <w:t>Any Questions?</w:t>
            </w:r>
            <w:bookmarkEnd w:id="4"/>
          </w:p>
        </w:tc>
        <w:tc>
          <w:tcPr>
            <w:tcW w:w="8788" w:type="dxa"/>
            <w:tcBorders>
              <w:top w:val="nil"/>
              <w:left w:val="nil"/>
              <w:bottom w:val="single" w:sz="4" w:space="0" w:color="auto"/>
            </w:tcBorders>
            <w:shd w:val="clear" w:color="auto" w:fill="auto"/>
          </w:tcPr>
          <w:p w14:paraId="2B70C5D9" w14:textId="5B4468A5" w:rsidR="00D44F0E" w:rsidRPr="003B552D" w:rsidRDefault="00867113" w:rsidP="00A0098C">
            <w:pPr>
              <w:rPr>
                <w:rFonts w:cs="Arial"/>
                <w:szCs w:val="20"/>
              </w:rPr>
            </w:pPr>
            <w:r w:rsidRPr="003B552D">
              <w:rPr>
                <w:rFonts w:cs="Arial"/>
                <w:szCs w:val="20"/>
              </w:rPr>
              <w:t xml:space="preserve">We actively encourage participants to discuss potential projects with </w:t>
            </w:r>
            <w:r>
              <w:rPr>
                <w:rFonts w:cs="Arial"/>
                <w:szCs w:val="20"/>
              </w:rPr>
              <w:t xml:space="preserve">the ICB CDT </w:t>
            </w:r>
            <w:r w:rsidR="002C02C6">
              <w:rPr>
                <w:rFonts w:cs="Arial"/>
                <w:szCs w:val="20"/>
              </w:rPr>
              <w:t xml:space="preserve">Management team </w:t>
            </w:r>
            <w:r>
              <w:rPr>
                <w:rFonts w:cs="Arial"/>
                <w:szCs w:val="20"/>
              </w:rPr>
              <w:t>and/or CRUK CSC team</w:t>
            </w:r>
            <w:r w:rsidRPr="003B552D">
              <w:rPr>
                <w:rFonts w:cs="Arial"/>
                <w:szCs w:val="20"/>
              </w:rPr>
              <w:t xml:space="preserve"> </w:t>
            </w:r>
            <w:r>
              <w:rPr>
                <w:rFonts w:cs="Arial"/>
                <w:szCs w:val="20"/>
              </w:rPr>
              <w:t>for any questions regarding</w:t>
            </w:r>
            <w:r w:rsidRPr="003B552D">
              <w:rPr>
                <w:rFonts w:cs="Arial"/>
                <w:szCs w:val="20"/>
              </w:rPr>
              <w:t xml:space="preserve"> the procedure or the remit.</w:t>
            </w:r>
          </w:p>
        </w:tc>
      </w:tr>
    </w:tbl>
    <w:p w14:paraId="42A22C56" w14:textId="77777777" w:rsidR="00A0098C" w:rsidRDefault="00A0098C" w:rsidP="00C811A3"/>
    <w:tbl>
      <w:tblPr>
        <w:tblW w:w="10881" w:type="dxa"/>
        <w:tblLook w:val="01E0" w:firstRow="1" w:lastRow="1" w:firstColumn="1" w:lastColumn="1" w:noHBand="0" w:noVBand="0"/>
      </w:tblPr>
      <w:tblGrid>
        <w:gridCol w:w="2093"/>
        <w:gridCol w:w="8788"/>
      </w:tblGrid>
      <w:tr w:rsidR="00E1698B" w:rsidRPr="00E80F4B" w14:paraId="24931473" w14:textId="77777777" w:rsidTr="006F0090">
        <w:trPr>
          <w:trHeight w:val="467"/>
        </w:trPr>
        <w:tc>
          <w:tcPr>
            <w:tcW w:w="10881" w:type="dxa"/>
            <w:gridSpan w:val="2"/>
            <w:shd w:val="clear" w:color="auto" w:fill="404040" w:themeFill="text1" w:themeFillTint="BF"/>
            <w:vAlign w:val="bottom"/>
          </w:tcPr>
          <w:p w14:paraId="628BB45C" w14:textId="77777777" w:rsidR="00E1698B" w:rsidRPr="00762493" w:rsidRDefault="00E1698B" w:rsidP="00E1698B">
            <w:pPr>
              <w:pStyle w:val="Heading3"/>
              <w:rPr>
                <w:sz w:val="20"/>
                <w:szCs w:val="20"/>
              </w:rPr>
            </w:pPr>
            <w:bookmarkStart w:id="5" w:name="_Toc376529153"/>
            <w:r w:rsidRPr="00762493">
              <w:rPr>
                <w:color w:val="FFFFFF" w:themeColor="background1"/>
                <w:sz w:val="20"/>
                <w:szCs w:val="20"/>
              </w:rPr>
              <w:t>POST AWARD</w:t>
            </w:r>
            <w:bookmarkEnd w:id="5"/>
          </w:p>
        </w:tc>
      </w:tr>
      <w:tr w:rsidR="005924E1" w:rsidRPr="00E80F4B" w14:paraId="04BD4258" w14:textId="77777777" w:rsidTr="00885781">
        <w:trPr>
          <w:trHeight w:val="909"/>
        </w:trPr>
        <w:tc>
          <w:tcPr>
            <w:tcW w:w="2093" w:type="dxa"/>
            <w:shd w:val="clear" w:color="auto" w:fill="D9D9D9" w:themeFill="background1" w:themeFillShade="D9"/>
          </w:tcPr>
          <w:p w14:paraId="39845040" w14:textId="77777777" w:rsidR="005924E1" w:rsidRPr="00DC03C8" w:rsidRDefault="005924E1" w:rsidP="005924E1">
            <w:pPr>
              <w:rPr>
                <w:rFonts w:cs="Arial"/>
                <w:szCs w:val="20"/>
              </w:rPr>
            </w:pPr>
            <w:r w:rsidRPr="00DC03C8">
              <w:rPr>
                <w:rFonts w:cs="Arial"/>
                <w:szCs w:val="20"/>
              </w:rPr>
              <w:t>Student Eligibility</w:t>
            </w:r>
          </w:p>
        </w:tc>
        <w:tc>
          <w:tcPr>
            <w:tcW w:w="8788" w:type="dxa"/>
            <w:shd w:val="clear" w:color="auto" w:fill="auto"/>
          </w:tcPr>
          <w:p w14:paraId="2BFFA7B3" w14:textId="77777777" w:rsidR="00963B40" w:rsidRDefault="00963B40" w:rsidP="00466602">
            <w:pPr>
              <w:rPr>
                <w:szCs w:val="20"/>
              </w:rPr>
            </w:pPr>
            <w:r>
              <w:rPr>
                <w:szCs w:val="20"/>
              </w:rPr>
              <w:t>We are only able to recruit students with ‘Home’ fee status to projects awarded via this call.</w:t>
            </w:r>
          </w:p>
          <w:p w14:paraId="3DD18095" w14:textId="77777777" w:rsidR="00963B40" w:rsidRDefault="00963B40" w:rsidP="00466602">
            <w:pPr>
              <w:rPr>
                <w:szCs w:val="20"/>
              </w:rPr>
            </w:pPr>
          </w:p>
          <w:p w14:paraId="66F7DFC0" w14:textId="62B66B02" w:rsidR="00466602" w:rsidRDefault="00466602" w:rsidP="00466602">
            <w:pPr>
              <w:rPr>
                <w:szCs w:val="20"/>
              </w:rPr>
            </w:pPr>
            <w:r w:rsidRPr="00DC03C8">
              <w:rPr>
                <w:szCs w:val="20"/>
              </w:rPr>
              <w:t xml:space="preserve">The awarding body for </w:t>
            </w:r>
            <w:r>
              <w:rPr>
                <w:szCs w:val="20"/>
              </w:rPr>
              <w:t>these joint</w:t>
            </w:r>
            <w:r w:rsidRPr="00DC03C8">
              <w:rPr>
                <w:szCs w:val="20"/>
              </w:rPr>
              <w:t xml:space="preserve"> studentships is the EPSRC</w:t>
            </w:r>
            <w:r>
              <w:rPr>
                <w:szCs w:val="20"/>
              </w:rPr>
              <w:t xml:space="preserve"> and CRUK</w:t>
            </w:r>
            <w:r w:rsidRPr="00DC03C8">
              <w:rPr>
                <w:szCs w:val="20"/>
              </w:rPr>
              <w:t xml:space="preserve">. Students must therefore conform to the eligibility requirements laid down by </w:t>
            </w:r>
            <w:r>
              <w:rPr>
                <w:szCs w:val="20"/>
              </w:rPr>
              <w:t>both funding bodies.</w:t>
            </w:r>
          </w:p>
          <w:p w14:paraId="5D45549A" w14:textId="77777777" w:rsidR="00EB77A2" w:rsidRDefault="00EB77A2" w:rsidP="00466602">
            <w:pPr>
              <w:rPr>
                <w:szCs w:val="20"/>
              </w:rPr>
            </w:pPr>
          </w:p>
          <w:p w14:paraId="7DF15F74" w14:textId="77777777" w:rsidR="005924E1" w:rsidRDefault="005924E1" w:rsidP="005924E1">
            <w:pPr>
              <w:rPr>
                <w:szCs w:val="20"/>
              </w:rPr>
            </w:pPr>
            <w:r w:rsidRPr="00DC03C8">
              <w:rPr>
                <w:szCs w:val="20"/>
              </w:rPr>
              <w:t xml:space="preserve">All students must have a good honours degree (2.1 or above) in a </w:t>
            </w:r>
            <w:r w:rsidRPr="006400DE">
              <w:rPr>
                <w:i/>
                <w:szCs w:val="20"/>
              </w:rPr>
              <w:t>physical sciences</w:t>
            </w:r>
            <w:r w:rsidRPr="00DC03C8">
              <w:rPr>
                <w:szCs w:val="20"/>
              </w:rPr>
              <w:t xml:space="preserve"> subject at </w:t>
            </w:r>
            <w:proofErr w:type="spellStart"/>
            <w:r w:rsidRPr="00DC03C8">
              <w:rPr>
                <w:szCs w:val="20"/>
              </w:rPr>
              <w:t>MSci</w:t>
            </w:r>
            <w:proofErr w:type="spellEnd"/>
            <w:r w:rsidRPr="00DC03C8">
              <w:rPr>
                <w:szCs w:val="20"/>
              </w:rPr>
              <w:t xml:space="preserve"> level (or equivalent).</w:t>
            </w:r>
          </w:p>
          <w:p w14:paraId="4F68DB98" w14:textId="617D7CBB" w:rsidR="005924E1" w:rsidRPr="00DC03C8" w:rsidRDefault="005924E1" w:rsidP="005924E1">
            <w:pPr>
              <w:rPr>
                <w:szCs w:val="20"/>
              </w:rPr>
            </w:pPr>
          </w:p>
        </w:tc>
      </w:tr>
      <w:tr w:rsidR="005924E1" w:rsidRPr="00E80F4B" w14:paraId="18BF85D4" w14:textId="77777777" w:rsidTr="00DC03C8">
        <w:trPr>
          <w:trHeight w:val="636"/>
        </w:trPr>
        <w:tc>
          <w:tcPr>
            <w:tcW w:w="2093" w:type="dxa"/>
            <w:shd w:val="clear" w:color="auto" w:fill="DDDDDD"/>
          </w:tcPr>
          <w:p w14:paraId="6BA6E190" w14:textId="77777777" w:rsidR="005924E1" w:rsidRPr="002C22FA" w:rsidRDefault="005924E1" w:rsidP="005924E1">
            <w:pPr>
              <w:rPr>
                <w:rFonts w:cs="Arial"/>
                <w:szCs w:val="20"/>
              </w:rPr>
            </w:pPr>
            <w:r>
              <w:rPr>
                <w:rFonts w:cs="Arial"/>
                <w:szCs w:val="20"/>
              </w:rPr>
              <w:t xml:space="preserve">Recruitment </w:t>
            </w:r>
          </w:p>
        </w:tc>
        <w:tc>
          <w:tcPr>
            <w:tcW w:w="8788" w:type="dxa"/>
          </w:tcPr>
          <w:p w14:paraId="2FE7F395" w14:textId="58E754BD" w:rsidR="005924E1" w:rsidRPr="00DC03C8" w:rsidRDefault="005924E1" w:rsidP="005924E1">
            <w:pPr>
              <w:rPr>
                <w:szCs w:val="20"/>
              </w:rPr>
            </w:pPr>
            <w:r w:rsidRPr="00DC03C8">
              <w:rPr>
                <w:szCs w:val="20"/>
              </w:rPr>
              <w:t xml:space="preserve">Eligible students will be interviewed by </w:t>
            </w:r>
            <w:r w:rsidR="00C7761D">
              <w:rPr>
                <w:szCs w:val="20"/>
              </w:rPr>
              <w:t xml:space="preserve">both </w:t>
            </w:r>
            <w:r w:rsidRPr="00DC03C8">
              <w:rPr>
                <w:szCs w:val="20"/>
              </w:rPr>
              <w:t>the ICB Board</w:t>
            </w:r>
            <w:r w:rsidR="002C0299">
              <w:rPr>
                <w:szCs w:val="20"/>
              </w:rPr>
              <w:t>, CSC training committee</w:t>
            </w:r>
            <w:r w:rsidRPr="00DC03C8">
              <w:rPr>
                <w:szCs w:val="20"/>
              </w:rPr>
              <w:t xml:space="preserve"> and the project supervisors.</w:t>
            </w:r>
          </w:p>
          <w:p w14:paraId="70785A24" w14:textId="289922F9" w:rsidR="005924E1" w:rsidRDefault="005924E1" w:rsidP="005924E1">
            <w:pPr>
              <w:ind w:right="310"/>
              <w:rPr>
                <w:szCs w:val="20"/>
              </w:rPr>
            </w:pPr>
            <w:r w:rsidRPr="004D1E17">
              <w:rPr>
                <w:b/>
                <w:bCs/>
                <w:szCs w:val="20"/>
              </w:rPr>
              <w:t>It is the responsibility of supervisors to ensure that studentship places are filled by 30</w:t>
            </w:r>
            <w:r w:rsidRPr="004D1E17">
              <w:rPr>
                <w:b/>
                <w:bCs/>
                <w:szCs w:val="20"/>
                <w:vertAlign w:val="superscript"/>
              </w:rPr>
              <w:t>th</w:t>
            </w:r>
            <w:r w:rsidRPr="004D1E17">
              <w:rPr>
                <w:b/>
                <w:bCs/>
                <w:szCs w:val="20"/>
              </w:rPr>
              <w:t xml:space="preserve"> of June 202</w:t>
            </w:r>
            <w:r w:rsidR="006159C5">
              <w:rPr>
                <w:b/>
                <w:bCs/>
                <w:szCs w:val="20"/>
              </w:rPr>
              <w:t>5</w:t>
            </w:r>
            <w:r w:rsidRPr="00DC03C8">
              <w:rPr>
                <w:szCs w:val="20"/>
              </w:rPr>
              <w:t>. Any studentship that does not have a suitable student signed up at this time will be deemed to have forfeited the award, which will be reassigned to reserve projects – this deadline will be strictly enforced.</w:t>
            </w:r>
          </w:p>
          <w:p w14:paraId="5FCEB9EC" w14:textId="36ACFEB4" w:rsidR="005924E1" w:rsidRPr="00DC03C8" w:rsidRDefault="005924E1" w:rsidP="005924E1">
            <w:pPr>
              <w:ind w:right="310"/>
              <w:rPr>
                <w:szCs w:val="20"/>
              </w:rPr>
            </w:pPr>
          </w:p>
        </w:tc>
      </w:tr>
      <w:tr w:rsidR="005924E1" w:rsidRPr="00E80F4B" w14:paraId="36E69B10" w14:textId="77777777" w:rsidTr="00DC03C8">
        <w:trPr>
          <w:trHeight w:val="636"/>
        </w:trPr>
        <w:tc>
          <w:tcPr>
            <w:tcW w:w="2093" w:type="dxa"/>
            <w:shd w:val="clear" w:color="auto" w:fill="DDDDDD"/>
          </w:tcPr>
          <w:p w14:paraId="067DC97F" w14:textId="77777777" w:rsidR="005924E1" w:rsidRPr="00DC03C8" w:rsidRDefault="005924E1" w:rsidP="005924E1">
            <w:pPr>
              <w:rPr>
                <w:rFonts w:cs="Arial"/>
                <w:szCs w:val="20"/>
              </w:rPr>
            </w:pPr>
            <w:r w:rsidRPr="00DC03C8">
              <w:rPr>
                <w:rFonts w:cs="Arial"/>
                <w:szCs w:val="20"/>
              </w:rPr>
              <w:t>Supervision splits</w:t>
            </w:r>
          </w:p>
        </w:tc>
        <w:tc>
          <w:tcPr>
            <w:tcW w:w="8788" w:type="dxa"/>
          </w:tcPr>
          <w:p w14:paraId="54270E10" w14:textId="338F71FB" w:rsidR="005924E1" w:rsidRPr="00723933" w:rsidRDefault="00C81EBB" w:rsidP="005924E1">
            <w:pPr>
              <w:rPr>
                <w:szCs w:val="20"/>
              </w:rPr>
            </w:pPr>
            <w:r w:rsidRPr="00C81EBB">
              <w:rPr>
                <w:szCs w:val="20"/>
              </w:rPr>
              <w:t xml:space="preserve">For reporting and auditing purposes, all students will be registered in Chemistry, regardless of the departmental affiliation of the supervisors. If there are no Chemistry supervisors, a formal </w:t>
            </w:r>
            <w:r w:rsidRPr="00C81EBB">
              <w:rPr>
                <w:szCs w:val="20"/>
              </w:rPr>
              <w:lastRenderedPageBreak/>
              <w:t>supervisor from Chemistry (either the director or one of the deputy directors of the ICB) will be added at 1% for administrative purposes.</w:t>
            </w:r>
          </w:p>
          <w:p w14:paraId="175BC6CE" w14:textId="77777777" w:rsidR="005924E1" w:rsidRPr="00DC03C8" w:rsidRDefault="005924E1" w:rsidP="005924E1">
            <w:pPr>
              <w:rPr>
                <w:szCs w:val="20"/>
              </w:rPr>
            </w:pPr>
          </w:p>
        </w:tc>
      </w:tr>
      <w:tr w:rsidR="00E220B6" w:rsidRPr="00E80F4B" w14:paraId="465B753E" w14:textId="77777777" w:rsidTr="00DC03C8">
        <w:trPr>
          <w:trHeight w:val="636"/>
        </w:trPr>
        <w:tc>
          <w:tcPr>
            <w:tcW w:w="2093" w:type="dxa"/>
            <w:shd w:val="clear" w:color="auto" w:fill="DDDDDD"/>
          </w:tcPr>
          <w:p w14:paraId="73F6CCAA" w14:textId="14947B85" w:rsidR="00E220B6" w:rsidRPr="00DC03C8" w:rsidRDefault="00E220B6" w:rsidP="00E220B6">
            <w:pPr>
              <w:rPr>
                <w:rFonts w:cs="Arial"/>
                <w:szCs w:val="20"/>
              </w:rPr>
            </w:pPr>
            <w:r w:rsidRPr="00DC03C8">
              <w:rPr>
                <w:rFonts w:cs="Arial"/>
                <w:szCs w:val="20"/>
              </w:rPr>
              <w:lastRenderedPageBreak/>
              <w:t>ICB events and EVOLVE program</w:t>
            </w:r>
            <w:r>
              <w:rPr>
                <w:rFonts w:cs="Arial"/>
                <w:szCs w:val="20"/>
              </w:rPr>
              <w:t>me</w:t>
            </w:r>
          </w:p>
        </w:tc>
        <w:tc>
          <w:tcPr>
            <w:tcW w:w="8788" w:type="dxa"/>
          </w:tcPr>
          <w:p w14:paraId="23593AD3" w14:textId="4536EC22" w:rsidR="00E220B6" w:rsidRDefault="00E220B6" w:rsidP="00E220B6">
            <w:pPr>
              <w:rPr>
                <w:szCs w:val="20"/>
              </w:rPr>
            </w:pPr>
            <w:r w:rsidRPr="00DC03C8">
              <w:rPr>
                <w:szCs w:val="20"/>
              </w:rPr>
              <w:t xml:space="preserve">The </w:t>
            </w:r>
            <w:r>
              <w:rPr>
                <w:szCs w:val="20"/>
              </w:rPr>
              <w:t>studentship</w:t>
            </w:r>
            <w:r w:rsidRPr="00DC03C8">
              <w:rPr>
                <w:szCs w:val="20"/>
              </w:rPr>
              <w:t xml:space="preserve"> program</w:t>
            </w:r>
            <w:r>
              <w:rPr>
                <w:szCs w:val="20"/>
              </w:rPr>
              <w:t>me</w:t>
            </w:r>
            <w:r w:rsidRPr="00DC03C8">
              <w:rPr>
                <w:szCs w:val="20"/>
              </w:rPr>
              <w:t xml:space="preserve">, under the administration of the ICB, involves colloquia and student organised conferences. </w:t>
            </w:r>
            <w:r w:rsidR="0008637F">
              <w:rPr>
                <w:szCs w:val="20"/>
              </w:rPr>
              <w:t>T</w:t>
            </w:r>
            <w:r w:rsidRPr="00DC03C8">
              <w:rPr>
                <w:szCs w:val="20"/>
              </w:rPr>
              <w:t>o encourage wide interactions, we make attendance at these program</w:t>
            </w:r>
            <w:r>
              <w:rPr>
                <w:szCs w:val="20"/>
              </w:rPr>
              <w:t>me</w:t>
            </w:r>
            <w:r w:rsidRPr="00DC03C8">
              <w:rPr>
                <w:szCs w:val="20"/>
              </w:rPr>
              <w:t xml:space="preserve">s a mandatory requirement for both students and supervisors. Students must also attend </w:t>
            </w:r>
            <w:r>
              <w:rPr>
                <w:szCs w:val="20"/>
              </w:rPr>
              <w:t xml:space="preserve">relevant </w:t>
            </w:r>
            <w:r w:rsidRPr="00DC03C8">
              <w:rPr>
                <w:szCs w:val="20"/>
              </w:rPr>
              <w:t>specific courses in transferable skills</w:t>
            </w:r>
            <w:r>
              <w:rPr>
                <w:szCs w:val="20"/>
              </w:rPr>
              <w:t xml:space="preserve"> </w:t>
            </w:r>
            <w:r w:rsidRPr="00DC03C8">
              <w:rPr>
                <w:szCs w:val="20"/>
              </w:rPr>
              <w:t>and</w:t>
            </w:r>
            <w:r>
              <w:rPr>
                <w:szCs w:val="20"/>
              </w:rPr>
              <w:t xml:space="preserve"> can</w:t>
            </w:r>
            <w:r w:rsidRPr="00DC03C8">
              <w:rPr>
                <w:szCs w:val="20"/>
              </w:rPr>
              <w:t xml:space="preserve"> take part in the EVOLVE</w:t>
            </w:r>
            <w:r>
              <w:rPr>
                <w:szCs w:val="20"/>
              </w:rPr>
              <w:t xml:space="preserve"> </w:t>
            </w:r>
            <w:r w:rsidRPr="00DC03C8">
              <w:rPr>
                <w:szCs w:val="20"/>
              </w:rPr>
              <w:t>programme</w:t>
            </w:r>
            <w:r>
              <w:rPr>
                <w:szCs w:val="20"/>
              </w:rPr>
              <w:t xml:space="preserve"> or </w:t>
            </w:r>
            <w:proofErr w:type="spellStart"/>
            <w:r>
              <w:rPr>
                <w:szCs w:val="20"/>
              </w:rPr>
              <w:t>InnovaLab</w:t>
            </w:r>
            <w:proofErr w:type="spellEnd"/>
            <w:r>
              <w:rPr>
                <w:szCs w:val="20"/>
              </w:rPr>
              <w:t xml:space="preserve"> tech accelerator programme, both of which last up to 2 months. </w:t>
            </w:r>
          </w:p>
          <w:p w14:paraId="36A72C4E" w14:textId="16D09DA9" w:rsidR="00B3103D" w:rsidRPr="0035516E" w:rsidRDefault="00B3103D" w:rsidP="00E220B6">
            <w:pPr>
              <w:rPr>
                <w:rFonts w:cs="Microsoft Sans Serif"/>
                <w:color w:val="000000" w:themeColor="text1"/>
                <w:szCs w:val="20"/>
              </w:rPr>
            </w:pPr>
          </w:p>
        </w:tc>
      </w:tr>
      <w:tr w:rsidR="00313A45" w:rsidRPr="00E80F4B" w14:paraId="03D9C404" w14:textId="77777777" w:rsidTr="00DC03C8">
        <w:trPr>
          <w:trHeight w:val="636"/>
        </w:trPr>
        <w:tc>
          <w:tcPr>
            <w:tcW w:w="2093" w:type="dxa"/>
            <w:shd w:val="clear" w:color="auto" w:fill="DDDDDD"/>
          </w:tcPr>
          <w:p w14:paraId="1BBC880B" w14:textId="5B50DDBD" w:rsidR="00313A45" w:rsidRPr="00DC03C8" w:rsidRDefault="00313A45" w:rsidP="00313A45">
            <w:pPr>
              <w:rPr>
                <w:rFonts w:cs="Arial"/>
                <w:szCs w:val="20"/>
              </w:rPr>
            </w:pPr>
            <w:r>
              <w:rPr>
                <w:rFonts w:cs="Arial"/>
                <w:szCs w:val="20"/>
              </w:rPr>
              <w:t xml:space="preserve">CSC Events </w:t>
            </w:r>
          </w:p>
        </w:tc>
        <w:tc>
          <w:tcPr>
            <w:tcW w:w="8788" w:type="dxa"/>
          </w:tcPr>
          <w:p w14:paraId="485773A0" w14:textId="3CC51FCC" w:rsidR="00313A45" w:rsidRDefault="00313A45" w:rsidP="00313A45">
            <w:pPr>
              <w:rPr>
                <w:szCs w:val="20"/>
              </w:rPr>
            </w:pPr>
            <w:r>
              <w:rPr>
                <w:szCs w:val="20"/>
              </w:rPr>
              <w:t>Students</w:t>
            </w:r>
            <w:r w:rsidRPr="00834EFE">
              <w:rPr>
                <w:szCs w:val="20"/>
              </w:rPr>
              <w:t xml:space="preserve"> </w:t>
            </w:r>
            <w:r>
              <w:rPr>
                <w:szCs w:val="20"/>
              </w:rPr>
              <w:t>are required</w:t>
            </w:r>
            <w:r w:rsidRPr="00834EFE">
              <w:rPr>
                <w:szCs w:val="20"/>
              </w:rPr>
              <w:t xml:space="preserve"> participate in bespoke training and engagement activities organised by the CRUK Convergence Science Centre. They will include but are not limited to, patient and public engagement workshops, and </w:t>
            </w:r>
            <w:r>
              <w:rPr>
                <w:szCs w:val="20"/>
              </w:rPr>
              <w:t xml:space="preserve">‘Think Like a’ </w:t>
            </w:r>
            <w:r w:rsidRPr="00834EFE">
              <w:rPr>
                <w:szCs w:val="20"/>
              </w:rPr>
              <w:t>seminar</w:t>
            </w:r>
            <w:r>
              <w:rPr>
                <w:szCs w:val="20"/>
              </w:rPr>
              <w:t xml:space="preserve"> series</w:t>
            </w:r>
            <w:r w:rsidRPr="00834EFE">
              <w:rPr>
                <w:szCs w:val="20"/>
              </w:rPr>
              <w:t xml:space="preserve">. </w:t>
            </w:r>
          </w:p>
          <w:p w14:paraId="2ABBDB53" w14:textId="77777777" w:rsidR="00313A45" w:rsidRPr="00DC03C8" w:rsidRDefault="00313A45" w:rsidP="00313A45">
            <w:pPr>
              <w:rPr>
                <w:szCs w:val="20"/>
              </w:rPr>
            </w:pPr>
          </w:p>
        </w:tc>
      </w:tr>
      <w:tr w:rsidR="00313A45" w:rsidRPr="00E80F4B" w14:paraId="1E2AD30C" w14:textId="77777777" w:rsidTr="00DC03C8">
        <w:trPr>
          <w:trHeight w:val="636"/>
        </w:trPr>
        <w:tc>
          <w:tcPr>
            <w:tcW w:w="2093" w:type="dxa"/>
            <w:shd w:val="clear" w:color="auto" w:fill="DDDDDD"/>
          </w:tcPr>
          <w:p w14:paraId="3DAD9B3F" w14:textId="77777777" w:rsidR="00313A45" w:rsidRPr="00DC03C8" w:rsidRDefault="00313A45" w:rsidP="00313A45">
            <w:pPr>
              <w:rPr>
                <w:rFonts w:cs="Arial"/>
                <w:szCs w:val="20"/>
              </w:rPr>
            </w:pPr>
            <w:r w:rsidRPr="00DC03C8">
              <w:rPr>
                <w:rFonts w:cs="Arial"/>
                <w:szCs w:val="20"/>
              </w:rPr>
              <w:t xml:space="preserve">ICB membership </w:t>
            </w:r>
          </w:p>
        </w:tc>
        <w:tc>
          <w:tcPr>
            <w:tcW w:w="8788" w:type="dxa"/>
          </w:tcPr>
          <w:p w14:paraId="5C3D1F9B" w14:textId="77777777" w:rsidR="00313A45" w:rsidRDefault="00313A45" w:rsidP="00313A45">
            <w:pPr>
              <w:rPr>
                <w:szCs w:val="20"/>
              </w:rPr>
            </w:pPr>
            <w:r w:rsidRPr="00DC03C8">
              <w:rPr>
                <w:szCs w:val="20"/>
              </w:rPr>
              <w:t xml:space="preserve">With the award of a studentship, supervisors automatically become ICB </w:t>
            </w:r>
            <w:proofErr w:type="gramStart"/>
            <w:r w:rsidRPr="00DC03C8">
              <w:rPr>
                <w:szCs w:val="20"/>
              </w:rPr>
              <w:t>members</w:t>
            </w:r>
            <w:proofErr w:type="gramEnd"/>
            <w:r w:rsidRPr="00DC03C8">
              <w:rPr>
                <w:szCs w:val="20"/>
              </w:rPr>
              <w:t xml:space="preserve"> and you will be approached by the </w:t>
            </w:r>
            <w:r>
              <w:rPr>
                <w:szCs w:val="20"/>
              </w:rPr>
              <w:t>ICB</w:t>
            </w:r>
            <w:r w:rsidRPr="00DC03C8">
              <w:rPr>
                <w:szCs w:val="20"/>
              </w:rPr>
              <w:t xml:space="preserve"> management regarding ICB</w:t>
            </w:r>
            <w:r>
              <w:rPr>
                <w:szCs w:val="20"/>
              </w:rPr>
              <w:t xml:space="preserve"> activities (see annex below)</w:t>
            </w:r>
            <w:r w:rsidRPr="00DC03C8">
              <w:rPr>
                <w:szCs w:val="20"/>
              </w:rPr>
              <w:t>.</w:t>
            </w:r>
          </w:p>
          <w:p w14:paraId="008234A8" w14:textId="74984DDB" w:rsidR="00313A45" w:rsidRPr="00DC03C8" w:rsidRDefault="00313A45" w:rsidP="00313A45">
            <w:pPr>
              <w:rPr>
                <w:szCs w:val="20"/>
              </w:rPr>
            </w:pPr>
          </w:p>
        </w:tc>
      </w:tr>
    </w:tbl>
    <w:p w14:paraId="6BEF27CF" w14:textId="77777777" w:rsidR="00B27B3B" w:rsidRDefault="00B27B3B" w:rsidP="005B1A2A">
      <w:pPr>
        <w:rPr>
          <w:rFonts w:cs="Arial"/>
        </w:rPr>
      </w:pPr>
    </w:p>
    <w:p w14:paraId="50D71B3C" w14:textId="77777777" w:rsidR="002C22FA" w:rsidRDefault="002C22FA" w:rsidP="005B1A2A">
      <w:pPr>
        <w:rPr>
          <w:rFonts w:cs="Arial"/>
        </w:rPr>
      </w:pPr>
    </w:p>
    <w:tbl>
      <w:tblPr>
        <w:tblW w:w="11016" w:type="dxa"/>
        <w:tblLook w:val="01E0" w:firstRow="1" w:lastRow="1" w:firstColumn="1" w:lastColumn="1" w:noHBand="0" w:noVBand="0"/>
      </w:tblPr>
      <w:tblGrid>
        <w:gridCol w:w="2235"/>
        <w:gridCol w:w="8781"/>
      </w:tblGrid>
      <w:tr w:rsidR="00F949FE" w:rsidRPr="00E80F4B" w14:paraId="1CAF0E71" w14:textId="77777777" w:rsidTr="006F0090">
        <w:trPr>
          <w:trHeight w:val="467"/>
        </w:trPr>
        <w:tc>
          <w:tcPr>
            <w:tcW w:w="11016" w:type="dxa"/>
            <w:gridSpan w:val="2"/>
            <w:shd w:val="clear" w:color="auto" w:fill="404040" w:themeFill="text1" w:themeFillTint="BF"/>
          </w:tcPr>
          <w:p w14:paraId="673CA5BC" w14:textId="77777777" w:rsidR="00F949FE" w:rsidRPr="00762493" w:rsidRDefault="00F949FE" w:rsidP="00E1698B">
            <w:pPr>
              <w:pStyle w:val="Heading3"/>
              <w:rPr>
                <w:sz w:val="20"/>
                <w:szCs w:val="20"/>
              </w:rPr>
            </w:pPr>
            <w:bookmarkStart w:id="6" w:name="_Toc376529154"/>
            <w:r w:rsidRPr="00762493">
              <w:rPr>
                <w:color w:val="FFFFFF" w:themeColor="background1"/>
                <w:sz w:val="20"/>
                <w:szCs w:val="20"/>
              </w:rPr>
              <w:t>ANNEX</w:t>
            </w:r>
            <w:bookmarkEnd w:id="6"/>
          </w:p>
        </w:tc>
      </w:tr>
      <w:tr w:rsidR="00401688" w:rsidRPr="00E80F4B" w14:paraId="006F0542" w14:textId="77777777" w:rsidTr="00885781">
        <w:tc>
          <w:tcPr>
            <w:tcW w:w="2235" w:type="dxa"/>
            <w:tcBorders>
              <w:bottom w:val="single" w:sz="4" w:space="0" w:color="auto"/>
            </w:tcBorders>
            <w:vAlign w:val="center"/>
          </w:tcPr>
          <w:p w14:paraId="03A30337" w14:textId="2DF1FD35" w:rsidR="00401688" w:rsidRPr="006400DE" w:rsidRDefault="00401688" w:rsidP="00F949FE">
            <w:pPr>
              <w:rPr>
                <w:sz w:val="18"/>
                <w:szCs w:val="18"/>
                <w:highlight w:val="yellow"/>
              </w:rPr>
            </w:pPr>
          </w:p>
        </w:tc>
        <w:tc>
          <w:tcPr>
            <w:tcW w:w="8781" w:type="dxa"/>
            <w:tcBorders>
              <w:bottom w:val="single" w:sz="4" w:space="0" w:color="auto"/>
            </w:tcBorders>
            <w:shd w:val="clear" w:color="auto" w:fill="auto"/>
            <w:vAlign w:val="center"/>
          </w:tcPr>
          <w:p w14:paraId="1FBF1400" w14:textId="33A07695" w:rsidR="00401688" w:rsidRPr="006400DE" w:rsidRDefault="00401688" w:rsidP="00F949FE">
            <w:pPr>
              <w:rPr>
                <w:sz w:val="18"/>
                <w:szCs w:val="18"/>
                <w:highlight w:val="yellow"/>
              </w:rPr>
            </w:pPr>
          </w:p>
        </w:tc>
      </w:tr>
      <w:tr w:rsidR="00401688" w:rsidRPr="00E80F4B" w14:paraId="57765501" w14:textId="77777777" w:rsidTr="00885781">
        <w:trPr>
          <w:trHeight w:val="380"/>
        </w:trPr>
        <w:tc>
          <w:tcPr>
            <w:tcW w:w="11016" w:type="dxa"/>
            <w:gridSpan w:val="2"/>
            <w:tcBorders>
              <w:top w:val="single" w:sz="4" w:space="0" w:color="auto"/>
            </w:tcBorders>
            <w:shd w:val="clear" w:color="auto" w:fill="DDDDDD"/>
            <w:vAlign w:val="center"/>
          </w:tcPr>
          <w:p w14:paraId="3E296139" w14:textId="77777777" w:rsidR="00401688" w:rsidRDefault="00401688" w:rsidP="00296672">
            <w:pPr>
              <w:jc w:val="both"/>
              <w:rPr>
                <w:rFonts w:cs="Arial"/>
                <w:sz w:val="18"/>
                <w:szCs w:val="20"/>
              </w:rPr>
            </w:pPr>
          </w:p>
          <w:p w14:paraId="5483984B" w14:textId="02F48397" w:rsidR="00401688" w:rsidRPr="00E1698B" w:rsidRDefault="00401688" w:rsidP="00296672">
            <w:pPr>
              <w:jc w:val="both"/>
              <w:rPr>
                <w:rFonts w:ascii="Calibri" w:hAnsi="Calibri" w:cs="Arial"/>
                <w:i/>
                <w:color w:val="7F7F7F" w:themeColor="text1" w:themeTint="80"/>
              </w:rPr>
            </w:pPr>
            <w:r>
              <w:rPr>
                <w:rFonts w:cs="Arial"/>
                <w:sz w:val="18"/>
                <w:szCs w:val="20"/>
              </w:rPr>
              <w:t xml:space="preserve">ICB core activity to be listed on the application form. Choose at least </w:t>
            </w:r>
            <w:r w:rsidR="00323C3C">
              <w:rPr>
                <w:rFonts w:cs="Arial"/>
                <w:sz w:val="18"/>
                <w:szCs w:val="20"/>
              </w:rPr>
              <w:t>three activities</w:t>
            </w:r>
            <w:r>
              <w:rPr>
                <w:rFonts w:cs="Arial"/>
                <w:sz w:val="18"/>
                <w:szCs w:val="20"/>
              </w:rPr>
              <w:t xml:space="preserve"> you </w:t>
            </w:r>
            <w:r w:rsidRPr="00296672">
              <w:rPr>
                <w:rFonts w:cs="Arial"/>
                <w:sz w:val="18"/>
                <w:szCs w:val="20"/>
              </w:rPr>
              <w:t xml:space="preserve">agree to be responsible for if you are awarded a studentship. </w:t>
            </w:r>
          </w:p>
        </w:tc>
      </w:tr>
      <w:tr w:rsidR="00401688" w:rsidRPr="00E80F4B" w14:paraId="77BC38A0" w14:textId="77777777" w:rsidTr="00885781">
        <w:trPr>
          <w:trHeight w:val="3304"/>
        </w:trPr>
        <w:tc>
          <w:tcPr>
            <w:tcW w:w="11016" w:type="dxa"/>
            <w:gridSpan w:val="2"/>
            <w:tcBorders>
              <w:bottom w:val="single" w:sz="4" w:space="0" w:color="auto"/>
            </w:tcBorders>
            <w:shd w:val="clear" w:color="auto" w:fill="auto"/>
            <w:vAlign w:val="center"/>
          </w:tcPr>
          <w:p w14:paraId="692E0A8E" w14:textId="77777777" w:rsidR="005E35A9" w:rsidRPr="00E5091C" w:rsidRDefault="005E35A9" w:rsidP="005E35A9">
            <w:pPr>
              <w:rPr>
                <w:rFonts w:cs="Arial"/>
                <w:szCs w:val="20"/>
              </w:rPr>
            </w:pPr>
          </w:p>
          <w:p w14:paraId="7089BF38" w14:textId="3F382D48" w:rsidR="005E35A9" w:rsidRPr="00E5091C" w:rsidRDefault="005E35A9" w:rsidP="005E35A9">
            <w:pPr>
              <w:rPr>
                <w:rFonts w:cs="Arial"/>
                <w:szCs w:val="20"/>
              </w:rPr>
            </w:pPr>
            <w:r w:rsidRPr="00E5091C">
              <w:rPr>
                <w:rFonts w:cs="Arial"/>
                <w:szCs w:val="20"/>
              </w:rPr>
              <w:t>Successful applicants will be expected to contribute throughout the duration of the 4-year PhD studentship to the training of our cohorts as requested by the ICB Directors. This includes (but is not limited to): marking of assessments; tutoring; mentoring.</w:t>
            </w:r>
          </w:p>
          <w:p w14:paraId="6F79BB1B" w14:textId="77777777" w:rsidR="005E35A9" w:rsidRPr="00E5091C" w:rsidRDefault="005E35A9" w:rsidP="005E35A9">
            <w:pPr>
              <w:rPr>
                <w:rFonts w:cs="Arial"/>
                <w:szCs w:val="20"/>
              </w:rPr>
            </w:pPr>
          </w:p>
          <w:p w14:paraId="2C0BED13" w14:textId="77777777" w:rsidR="005E35A9" w:rsidRPr="00E5091C" w:rsidRDefault="005E35A9" w:rsidP="005E35A9">
            <w:pPr>
              <w:rPr>
                <w:rFonts w:cs="Arial"/>
                <w:szCs w:val="20"/>
              </w:rPr>
            </w:pPr>
            <w:r w:rsidRPr="00E5091C">
              <w:rPr>
                <w:rFonts w:cs="Arial"/>
                <w:szCs w:val="20"/>
              </w:rPr>
              <w:t>In addition to this, we would request that you select at least three of the below activities to be responsible for if you are awarded a studentship:</w:t>
            </w:r>
          </w:p>
          <w:p w14:paraId="6092CBE4" w14:textId="77777777" w:rsidR="005E35A9" w:rsidRPr="00E5091C" w:rsidRDefault="005E35A9" w:rsidP="005E35A9">
            <w:pPr>
              <w:rPr>
                <w:rFonts w:cs="Arial"/>
                <w:szCs w:val="20"/>
              </w:rPr>
            </w:pPr>
          </w:p>
          <w:p w14:paraId="7AA4C96F" w14:textId="77777777" w:rsidR="005E35A9" w:rsidRPr="00E5091C" w:rsidRDefault="005E35A9" w:rsidP="005E35A9">
            <w:pPr>
              <w:pStyle w:val="ListParagraph"/>
              <w:numPr>
                <w:ilvl w:val="0"/>
                <w:numId w:val="29"/>
              </w:numPr>
              <w:autoSpaceDE w:val="0"/>
              <w:autoSpaceDN w:val="0"/>
              <w:adjustRightInd w:val="0"/>
              <w:spacing w:after="0" w:line="240" w:lineRule="auto"/>
              <w:ind w:right="-20"/>
              <w:rPr>
                <w:rFonts w:ascii="Arial" w:eastAsia="Times New Roman" w:hAnsi="Arial" w:cs="Arial"/>
                <w:sz w:val="20"/>
                <w:szCs w:val="20"/>
              </w:rPr>
            </w:pPr>
            <w:r w:rsidRPr="00E5091C">
              <w:rPr>
                <w:rFonts w:ascii="Arial" w:eastAsia="Times New Roman" w:hAnsi="Arial" w:cs="Arial"/>
                <w:sz w:val="20"/>
                <w:szCs w:val="20"/>
              </w:rPr>
              <w:t>Co-o</w:t>
            </w:r>
            <w:r w:rsidRPr="00E5091C">
              <w:rPr>
                <w:rFonts w:ascii="Arial" w:hAnsi="Arial" w:cs="Arial"/>
                <w:sz w:val="20"/>
                <w:szCs w:val="20"/>
              </w:rPr>
              <w:t>rganise an ICB colloquium</w:t>
            </w:r>
          </w:p>
          <w:p w14:paraId="1ED09ED6" w14:textId="77777777" w:rsidR="005E35A9" w:rsidRPr="00E5091C" w:rsidRDefault="005E35A9" w:rsidP="005E35A9">
            <w:pPr>
              <w:pStyle w:val="ListParagraph"/>
              <w:numPr>
                <w:ilvl w:val="0"/>
                <w:numId w:val="29"/>
              </w:numPr>
              <w:autoSpaceDE w:val="0"/>
              <w:autoSpaceDN w:val="0"/>
              <w:adjustRightInd w:val="0"/>
              <w:spacing w:after="0" w:line="240" w:lineRule="auto"/>
              <w:ind w:right="-20"/>
              <w:rPr>
                <w:rFonts w:ascii="Arial" w:eastAsia="Times New Roman" w:hAnsi="Arial" w:cs="Arial"/>
                <w:sz w:val="20"/>
                <w:szCs w:val="20"/>
              </w:rPr>
            </w:pPr>
            <w:r w:rsidRPr="00E5091C">
              <w:rPr>
                <w:rFonts w:ascii="Arial" w:eastAsia="Times New Roman" w:hAnsi="Arial" w:cs="Arial"/>
                <w:sz w:val="20"/>
                <w:szCs w:val="20"/>
              </w:rPr>
              <w:t>Give a talk at an ICB colloquium or Summer School</w:t>
            </w:r>
          </w:p>
          <w:p w14:paraId="446A46CB" w14:textId="77777777" w:rsidR="005E35A9" w:rsidRPr="00E5091C" w:rsidRDefault="005E35A9" w:rsidP="005E35A9">
            <w:pPr>
              <w:pStyle w:val="ListParagraph"/>
              <w:numPr>
                <w:ilvl w:val="0"/>
                <w:numId w:val="29"/>
              </w:numPr>
              <w:autoSpaceDE w:val="0"/>
              <w:autoSpaceDN w:val="0"/>
              <w:adjustRightInd w:val="0"/>
              <w:spacing w:after="0" w:line="240" w:lineRule="auto"/>
              <w:ind w:right="-20"/>
              <w:rPr>
                <w:rFonts w:ascii="Arial" w:eastAsia="Times New Roman" w:hAnsi="Arial" w:cs="Arial"/>
                <w:sz w:val="20"/>
                <w:szCs w:val="20"/>
              </w:rPr>
            </w:pPr>
            <w:r w:rsidRPr="00E5091C">
              <w:rPr>
                <w:rFonts w:ascii="Arial" w:eastAsia="Times New Roman" w:hAnsi="Arial" w:cs="Arial"/>
                <w:sz w:val="20"/>
                <w:szCs w:val="20"/>
              </w:rPr>
              <w:t>Co-organise an ICB careers seminar</w:t>
            </w:r>
          </w:p>
          <w:p w14:paraId="3C2AA56D" w14:textId="77777777" w:rsidR="005E35A9" w:rsidRPr="00E5091C" w:rsidRDefault="005E35A9" w:rsidP="005E35A9">
            <w:pPr>
              <w:pStyle w:val="ListParagraph"/>
              <w:numPr>
                <w:ilvl w:val="0"/>
                <w:numId w:val="29"/>
              </w:numPr>
              <w:autoSpaceDE w:val="0"/>
              <w:autoSpaceDN w:val="0"/>
              <w:adjustRightInd w:val="0"/>
              <w:spacing w:after="0" w:line="240" w:lineRule="auto"/>
              <w:ind w:right="-20"/>
              <w:rPr>
                <w:rFonts w:ascii="Arial" w:eastAsia="Times New Roman" w:hAnsi="Arial" w:cs="Arial"/>
                <w:sz w:val="20"/>
                <w:szCs w:val="20"/>
              </w:rPr>
            </w:pPr>
            <w:r w:rsidRPr="00E5091C">
              <w:rPr>
                <w:rFonts w:ascii="Arial" w:eastAsia="Times New Roman" w:hAnsi="Arial" w:cs="Arial"/>
                <w:sz w:val="20"/>
                <w:szCs w:val="20"/>
              </w:rPr>
              <w:t>Supervise ICB cohort site visits to industry partners</w:t>
            </w:r>
          </w:p>
          <w:p w14:paraId="4B190B9B" w14:textId="77777777" w:rsidR="005E35A9" w:rsidRPr="00E5091C" w:rsidRDefault="005E35A9" w:rsidP="005E35A9">
            <w:pPr>
              <w:pStyle w:val="ListParagraph"/>
              <w:numPr>
                <w:ilvl w:val="0"/>
                <w:numId w:val="29"/>
              </w:numPr>
              <w:autoSpaceDE w:val="0"/>
              <w:autoSpaceDN w:val="0"/>
              <w:adjustRightInd w:val="0"/>
              <w:spacing w:after="0" w:line="240" w:lineRule="auto"/>
              <w:ind w:right="-20"/>
              <w:rPr>
                <w:rFonts w:ascii="Arial" w:eastAsia="Times New Roman" w:hAnsi="Arial" w:cs="Arial"/>
                <w:sz w:val="20"/>
                <w:szCs w:val="20"/>
              </w:rPr>
            </w:pPr>
            <w:r w:rsidRPr="00E5091C">
              <w:rPr>
                <w:rFonts w:ascii="Arial" w:eastAsia="Times New Roman" w:hAnsi="Arial" w:cs="Arial"/>
                <w:sz w:val="20"/>
                <w:szCs w:val="20"/>
              </w:rPr>
              <w:t>Contribute to MRes taught training (e.g. lectures, group learning seminars)</w:t>
            </w:r>
          </w:p>
          <w:p w14:paraId="1ADF1E51" w14:textId="7C1BE60D" w:rsidR="005E35A9" w:rsidRPr="00E5091C" w:rsidRDefault="005E35A9" w:rsidP="005E35A9">
            <w:pPr>
              <w:pStyle w:val="ListParagraph"/>
              <w:numPr>
                <w:ilvl w:val="0"/>
                <w:numId w:val="29"/>
              </w:numPr>
              <w:autoSpaceDE w:val="0"/>
              <w:autoSpaceDN w:val="0"/>
              <w:adjustRightInd w:val="0"/>
              <w:spacing w:after="0" w:line="240" w:lineRule="auto"/>
              <w:ind w:right="-20"/>
              <w:rPr>
                <w:rFonts w:ascii="Arial" w:eastAsia="Times New Roman" w:hAnsi="Arial" w:cs="Arial"/>
                <w:sz w:val="20"/>
                <w:szCs w:val="20"/>
              </w:rPr>
            </w:pPr>
            <w:r w:rsidRPr="00E5091C">
              <w:rPr>
                <w:rFonts w:ascii="Arial" w:eastAsia="Times New Roman" w:hAnsi="Arial" w:cs="Arial"/>
                <w:sz w:val="20"/>
                <w:szCs w:val="20"/>
              </w:rPr>
              <w:t xml:space="preserve">Contribute to the ICB </w:t>
            </w:r>
            <w:r w:rsidR="002C6582">
              <w:rPr>
                <w:rFonts w:ascii="Arial" w:eastAsia="Times New Roman" w:hAnsi="Arial" w:cs="Arial"/>
                <w:sz w:val="20"/>
                <w:szCs w:val="20"/>
              </w:rPr>
              <w:t xml:space="preserve">and CSC </w:t>
            </w:r>
            <w:r w:rsidRPr="00E5091C">
              <w:rPr>
                <w:rFonts w:ascii="Arial" w:eastAsia="Times New Roman" w:hAnsi="Arial" w:cs="Arial"/>
                <w:sz w:val="20"/>
                <w:szCs w:val="20"/>
              </w:rPr>
              <w:t>newsletter/ website</w:t>
            </w:r>
          </w:p>
          <w:p w14:paraId="7C9AB734" w14:textId="48DF6A8B" w:rsidR="005E35A9" w:rsidRPr="00E5091C" w:rsidRDefault="005E35A9" w:rsidP="005E35A9">
            <w:pPr>
              <w:pStyle w:val="ListParagraph"/>
              <w:numPr>
                <w:ilvl w:val="0"/>
                <w:numId w:val="29"/>
              </w:numPr>
              <w:autoSpaceDE w:val="0"/>
              <w:autoSpaceDN w:val="0"/>
              <w:adjustRightInd w:val="0"/>
              <w:spacing w:after="0" w:line="240" w:lineRule="auto"/>
              <w:ind w:right="-20"/>
              <w:rPr>
                <w:rFonts w:ascii="Arial" w:eastAsia="Times New Roman" w:hAnsi="Arial" w:cs="Arial"/>
                <w:sz w:val="20"/>
                <w:szCs w:val="20"/>
              </w:rPr>
            </w:pPr>
            <w:r w:rsidRPr="00E5091C">
              <w:rPr>
                <w:rFonts w:ascii="Arial" w:eastAsia="Times New Roman" w:hAnsi="Arial" w:cs="Arial"/>
                <w:sz w:val="20"/>
                <w:szCs w:val="20"/>
              </w:rPr>
              <w:t xml:space="preserve">Attend and act as tutor at an ICB </w:t>
            </w:r>
            <w:r w:rsidR="002C6582">
              <w:rPr>
                <w:rFonts w:ascii="Arial" w:eastAsia="Times New Roman" w:hAnsi="Arial" w:cs="Arial"/>
                <w:sz w:val="20"/>
                <w:szCs w:val="20"/>
              </w:rPr>
              <w:t xml:space="preserve">and CSC </w:t>
            </w:r>
            <w:r w:rsidRPr="00E5091C">
              <w:rPr>
                <w:rFonts w:ascii="Arial" w:eastAsia="Times New Roman" w:hAnsi="Arial" w:cs="Arial"/>
                <w:sz w:val="20"/>
                <w:szCs w:val="20"/>
              </w:rPr>
              <w:t>transferable skills course</w:t>
            </w:r>
            <w:r w:rsidR="002C6582">
              <w:rPr>
                <w:rFonts w:ascii="Arial" w:eastAsia="Times New Roman" w:hAnsi="Arial" w:cs="Arial"/>
                <w:sz w:val="20"/>
                <w:szCs w:val="20"/>
              </w:rPr>
              <w:t>s</w:t>
            </w:r>
          </w:p>
          <w:p w14:paraId="5673456B" w14:textId="77777777" w:rsidR="005E35A9" w:rsidRPr="00E5091C" w:rsidRDefault="005E35A9" w:rsidP="005E35A9">
            <w:pPr>
              <w:pStyle w:val="ListParagraph"/>
              <w:numPr>
                <w:ilvl w:val="0"/>
                <w:numId w:val="29"/>
              </w:numPr>
              <w:autoSpaceDE w:val="0"/>
              <w:autoSpaceDN w:val="0"/>
              <w:adjustRightInd w:val="0"/>
              <w:spacing w:after="0" w:line="240" w:lineRule="auto"/>
              <w:ind w:right="-20"/>
              <w:rPr>
                <w:rFonts w:ascii="Arial" w:eastAsia="Times New Roman" w:hAnsi="Arial" w:cs="Arial"/>
                <w:sz w:val="20"/>
                <w:szCs w:val="20"/>
              </w:rPr>
            </w:pPr>
            <w:r w:rsidRPr="00E5091C">
              <w:rPr>
                <w:rFonts w:ascii="Arial" w:eastAsia="Times New Roman" w:hAnsi="Arial" w:cs="Arial"/>
                <w:sz w:val="20"/>
                <w:szCs w:val="20"/>
              </w:rPr>
              <w:t>Take part in industry hackathons</w:t>
            </w:r>
          </w:p>
          <w:p w14:paraId="1F3AF9B5" w14:textId="77777777" w:rsidR="005E35A9" w:rsidRPr="00E5091C" w:rsidRDefault="005E35A9" w:rsidP="005E35A9">
            <w:pPr>
              <w:pStyle w:val="ListParagraph"/>
              <w:numPr>
                <w:ilvl w:val="0"/>
                <w:numId w:val="29"/>
              </w:numPr>
              <w:autoSpaceDE w:val="0"/>
              <w:autoSpaceDN w:val="0"/>
              <w:adjustRightInd w:val="0"/>
              <w:spacing w:after="0" w:line="240" w:lineRule="auto"/>
              <w:ind w:right="-20"/>
              <w:rPr>
                <w:rFonts w:ascii="Arial" w:eastAsia="Times New Roman" w:hAnsi="Arial" w:cs="Arial"/>
                <w:sz w:val="20"/>
                <w:szCs w:val="20"/>
              </w:rPr>
            </w:pPr>
            <w:r w:rsidRPr="00E5091C">
              <w:rPr>
                <w:rFonts w:ascii="Arial" w:eastAsia="Times New Roman" w:hAnsi="Arial" w:cs="Arial"/>
                <w:sz w:val="20"/>
                <w:szCs w:val="20"/>
              </w:rPr>
              <w:t>Act as member of judging panels at events such as the ICB Tech Accelerator</w:t>
            </w:r>
          </w:p>
          <w:p w14:paraId="348A5472" w14:textId="77777777" w:rsidR="005E35A9" w:rsidRPr="00E5091C" w:rsidRDefault="005E35A9" w:rsidP="005E35A9">
            <w:pPr>
              <w:pStyle w:val="ListParagraph"/>
              <w:numPr>
                <w:ilvl w:val="0"/>
                <w:numId w:val="29"/>
              </w:numPr>
              <w:autoSpaceDE w:val="0"/>
              <w:autoSpaceDN w:val="0"/>
              <w:adjustRightInd w:val="0"/>
              <w:spacing w:after="0" w:line="240" w:lineRule="auto"/>
              <w:ind w:right="-20"/>
              <w:rPr>
                <w:rFonts w:ascii="Arial" w:eastAsia="Times New Roman" w:hAnsi="Arial" w:cs="Arial"/>
                <w:sz w:val="20"/>
                <w:szCs w:val="20"/>
              </w:rPr>
            </w:pPr>
            <w:r w:rsidRPr="00E5091C">
              <w:rPr>
                <w:rFonts w:ascii="Arial" w:eastAsia="Times New Roman" w:hAnsi="Arial" w:cs="Arial"/>
                <w:sz w:val="20"/>
                <w:szCs w:val="20"/>
              </w:rPr>
              <w:t xml:space="preserve">Act as a member of an ICB expert panel to mark future proposals </w:t>
            </w:r>
          </w:p>
          <w:p w14:paraId="39D65C07" w14:textId="77777777" w:rsidR="005E35A9" w:rsidRPr="00E5091C" w:rsidRDefault="005E35A9" w:rsidP="005E35A9">
            <w:pPr>
              <w:pStyle w:val="ListParagraph"/>
              <w:numPr>
                <w:ilvl w:val="0"/>
                <w:numId w:val="29"/>
              </w:numPr>
              <w:autoSpaceDE w:val="0"/>
              <w:autoSpaceDN w:val="0"/>
              <w:adjustRightInd w:val="0"/>
              <w:spacing w:after="0" w:line="240" w:lineRule="auto"/>
              <w:ind w:right="-20"/>
              <w:rPr>
                <w:rFonts w:ascii="Arial" w:eastAsia="Times New Roman" w:hAnsi="Arial" w:cs="Arial"/>
                <w:sz w:val="20"/>
                <w:szCs w:val="20"/>
              </w:rPr>
            </w:pPr>
            <w:r w:rsidRPr="00E5091C">
              <w:rPr>
                <w:rFonts w:ascii="Arial" w:eastAsia="Times New Roman" w:hAnsi="Arial" w:cs="Arial"/>
                <w:sz w:val="20"/>
                <w:szCs w:val="20"/>
              </w:rPr>
              <w:t>Take part in ICB technology showcase events / SME workshops</w:t>
            </w:r>
          </w:p>
          <w:p w14:paraId="6F953E60" w14:textId="77777777" w:rsidR="005E35A9" w:rsidRPr="00E5091C" w:rsidRDefault="005E35A9" w:rsidP="005E35A9">
            <w:pPr>
              <w:pStyle w:val="ListParagraph"/>
              <w:numPr>
                <w:ilvl w:val="0"/>
                <w:numId w:val="29"/>
              </w:numPr>
              <w:autoSpaceDE w:val="0"/>
              <w:autoSpaceDN w:val="0"/>
              <w:adjustRightInd w:val="0"/>
              <w:spacing w:after="0" w:line="240" w:lineRule="auto"/>
              <w:ind w:right="-20"/>
              <w:rPr>
                <w:rFonts w:ascii="Arial" w:eastAsia="Times New Roman" w:hAnsi="Arial" w:cs="Arial"/>
                <w:sz w:val="20"/>
                <w:szCs w:val="20"/>
              </w:rPr>
            </w:pPr>
            <w:r w:rsidRPr="00E5091C">
              <w:rPr>
                <w:rFonts w:ascii="Arial" w:eastAsia="Times New Roman" w:hAnsi="Arial" w:cs="Arial"/>
                <w:sz w:val="20"/>
                <w:szCs w:val="20"/>
              </w:rPr>
              <w:t xml:space="preserve">Join the BOOST mentoring programme (giving advice to student pursuing independent research or starting up their own companies) </w:t>
            </w:r>
          </w:p>
          <w:p w14:paraId="4B86CDCE" w14:textId="77777777" w:rsidR="005E35A9" w:rsidRPr="00E5091C" w:rsidRDefault="005E35A9" w:rsidP="005E35A9">
            <w:pPr>
              <w:pStyle w:val="ListParagraph"/>
              <w:numPr>
                <w:ilvl w:val="0"/>
                <w:numId w:val="29"/>
              </w:numPr>
              <w:autoSpaceDE w:val="0"/>
              <w:autoSpaceDN w:val="0"/>
              <w:adjustRightInd w:val="0"/>
              <w:spacing w:after="0" w:line="240" w:lineRule="auto"/>
              <w:ind w:right="-20"/>
              <w:rPr>
                <w:rFonts w:ascii="Arial" w:eastAsia="Times New Roman" w:hAnsi="Arial" w:cs="Arial"/>
                <w:sz w:val="20"/>
                <w:szCs w:val="20"/>
              </w:rPr>
            </w:pPr>
            <w:r w:rsidRPr="00E5091C">
              <w:rPr>
                <w:rFonts w:ascii="Arial" w:eastAsia="Times New Roman" w:hAnsi="Arial" w:cs="Arial"/>
                <w:sz w:val="20"/>
                <w:szCs w:val="20"/>
              </w:rPr>
              <w:t xml:space="preserve">Act as a cohort mentor for 1 year (includes visiting students at residential courses)  </w:t>
            </w:r>
          </w:p>
          <w:p w14:paraId="0D922517" w14:textId="77777777" w:rsidR="005E35A9" w:rsidRPr="00E5091C" w:rsidRDefault="005E35A9" w:rsidP="005E35A9">
            <w:pPr>
              <w:pStyle w:val="ListParagraph"/>
              <w:numPr>
                <w:ilvl w:val="0"/>
                <w:numId w:val="29"/>
              </w:numPr>
              <w:autoSpaceDE w:val="0"/>
              <w:autoSpaceDN w:val="0"/>
              <w:adjustRightInd w:val="0"/>
              <w:spacing w:after="0" w:line="240" w:lineRule="auto"/>
              <w:ind w:right="-20"/>
              <w:rPr>
                <w:rFonts w:ascii="Arial" w:eastAsia="Times New Roman" w:hAnsi="Arial" w:cs="Arial"/>
                <w:sz w:val="20"/>
                <w:szCs w:val="20"/>
              </w:rPr>
            </w:pPr>
            <w:r w:rsidRPr="00E5091C">
              <w:rPr>
                <w:rFonts w:ascii="Arial" w:eastAsia="Times New Roman" w:hAnsi="Arial" w:cs="Arial"/>
                <w:sz w:val="20"/>
                <w:szCs w:val="20"/>
              </w:rPr>
              <w:t xml:space="preserve">Other  </w:t>
            </w:r>
            <w:sdt>
              <w:sdtPr>
                <w:rPr>
                  <w:rFonts w:ascii="Arial" w:eastAsia="Times New Roman" w:hAnsi="Arial" w:cs="Arial"/>
                  <w:sz w:val="20"/>
                  <w:szCs w:val="20"/>
                </w:rPr>
                <w:id w:val="-745799381"/>
                <w:placeholder>
                  <w:docPart w:val="D996ED0CD6544785961755EC96BCF3F9"/>
                </w:placeholder>
              </w:sdtPr>
              <w:sdtEndPr/>
              <w:sdtContent>
                <w:r w:rsidRPr="00E5091C">
                  <w:rPr>
                    <w:rStyle w:val="PlaceholderText"/>
                    <w:rFonts w:ascii="Arial" w:hAnsi="Arial" w:cs="Arial"/>
                    <w:sz w:val="20"/>
                    <w:szCs w:val="20"/>
                  </w:rPr>
                  <w:t>Click or tap here to enter text.</w:t>
                </w:r>
              </w:sdtContent>
            </w:sdt>
          </w:p>
          <w:p w14:paraId="06BF6617" w14:textId="00586432" w:rsidR="00401688" w:rsidRPr="005901C6" w:rsidRDefault="00401688" w:rsidP="005E35A9">
            <w:pPr>
              <w:pStyle w:val="ListParagraph"/>
              <w:autoSpaceDE w:val="0"/>
              <w:autoSpaceDN w:val="0"/>
              <w:adjustRightInd w:val="0"/>
              <w:ind w:right="-20"/>
              <w:rPr>
                <w:rFonts w:ascii="Arial" w:hAnsi="Arial" w:cs="Arial"/>
                <w:sz w:val="18"/>
                <w:szCs w:val="18"/>
              </w:rPr>
            </w:pPr>
          </w:p>
        </w:tc>
      </w:tr>
    </w:tbl>
    <w:p w14:paraId="0AD53BC7" w14:textId="77777777" w:rsidR="00D31E2E" w:rsidRPr="004542CD" w:rsidRDefault="00D31E2E" w:rsidP="00E1698B">
      <w:pPr>
        <w:pStyle w:val="BodyText"/>
      </w:pPr>
    </w:p>
    <w:sectPr w:rsidR="00D31E2E" w:rsidRPr="004542CD" w:rsidSect="0075389E">
      <w:headerReference w:type="even" r:id="rId14"/>
      <w:headerReference w:type="default" r:id="rId15"/>
      <w:footerReference w:type="even" r:id="rId16"/>
      <w:footerReference w:type="default" r:id="rId17"/>
      <w:headerReference w:type="first" r:id="rId18"/>
      <w:footerReference w:type="first" r:id="rId19"/>
      <w:pgSz w:w="12240" w:h="15840"/>
      <w:pgMar w:top="851" w:right="720" w:bottom="993" w:left="72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70550" w14:textId="77777777" w:rsidR="00843EA2" w:rsidRDefault="00843EA2">
      <w:r>
        <w:separator/>
      </w:r>
    </w:p>
  </w:endnote>
  <w:endnote w:type="continuationSeparator" w:id="0">
    <w:p w14:paraId="2A5E5590" w14:textId="77777777" w:rsidR="00843EA2" w:rsidRDefault="00843EA2">
      <w:r>
        <w:continuationSeparator/>
      </w:r>
    </w:p>
  </w:endnote>
  <w:endnote w:type="continuationNotice" w:id="1">
    <w:p w14:paraId="66921EA6" w14:textId="77777777" w:rsidR="00843EA2" w:rsidRDefault="00843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015B" w14:textId="77777777" w:rsidR="00624D3E" w:rsidRDefault="00624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87D04" w14:textId="31E64B88" w:rsidR="00AB4AE8" w:rsidRPr="00F71D40" w:rsidRDefault="00AB4AE8" w:rsidP="00F71D40">
    <w:pPr>
      <w:pStyle w:val="Footer"/>
      <w:tabs>
        <w:tab w:val="left" w:pos="3300"/>
        <w:tab w:val="center" w:pos="4320"/>
      </w:tabs>
    </w:pPr>
    <w:r>
      <w:tab/>
    </w:r>
    <w:r>
      <w:tab/>
      <w:t xml:space="preserve">                                       </w:t>
    </w:r>
    <w:r w:rsidRPr="00F71D40">
      <w:t xml:space="preserve"> </w:t>
    </w:r>
    <w:r w:rsidRPr="00F71D40">
      <w:rPr>
        <w:rStyle w:val="PageNumber"/>
        <w:caps w:val="0"/>
      </w:rPr>
      <w:fldChar w:fldCharType="begin"/>
    </w:r>
    <w:r w:rsidRPr="00F71D40">
      <w:rPr>
        <w:rStyle w:val="PageNumber"/>
        <w:caps w:val="0"/>
      </w:rPr>
      <w:instrText xml:space="preserve"> PAGE </w:instrText>
    </w:r>
    <w:r w:rsidRPr="00F71D40">
      <w:rPr>
        <w:rStyle w:val="PageNumber"/>
        <w:caps w:val="0"/>
      </w:rPr>
      <w:fldChar w:fldCharType="separate"/>
    </w:r>
    <w:r w:rsidR="00E548B3">
      <w:rPr>
        <w:rStyle w:val="PageNumber"/>
        <w:caps w:val="0"/>
        <w:noProof/>
      </w:rPr>
      <w:t>5</w:t>
    </w:r>
    <w:r w:rsidRPr="00F71D40">
      <w:rPr>
        <w:rStyle w:val="PageNumber"/>
        <w:caps w:val="0"/>
      </w:rPr>
      <w:fldChar w:fldCharType="end"/>
    </w:r>
    <w:r w:rsidRPr="00F71D40">
      <w:rPr>
        <w:rStyle w:val="PageNumber"/>
        <w:caps w:val="0"/>
      </w:rPr>
      <w:t xml:space="preserve"> of </w:t>
    </w:r>
    <w:r w:rsidRPr="00F71D40">
      <w:rPr>
        <w:rStyle w:val="PageNumber"/>
        <w:caps w:val="0"/>
      </w:rPr>
      <w:fldChar w:fldCharType="begin"/>
    </w:r>
    <w:r w:rsidRPr="00F71D40">
      <w:rPr>
        <w:rStyle w:val="PageNumber"/>
        <w:caps w:val="0"/>
      </w:rPr>
      <w:instrText xml:space="preserve"> NUMPAGES </w:instrText>
    </w:r>
    <w:r w:rsidRPr="00F71D40">
      <w:rPr>
        <w:rStyle w:val="PageNumber"/>
        <w:caps w:val="0"/>
      </w:rPr>
      <w:fldChar w:fldCharType="separate"/>
    </w:r>
    <w:r w:rsidR="00E548B3">
      <w:rPr>
        <w:rStyle w:val="PageNumber"/>
        <w:caps w:val="0"/>
        <w:noProof/>
      </w:rPr>
      <w:t>5</w:t>
    </w:r>
    <w:r w:rsidRPr="00F71D40">
      <w:rPr>
        <w:rStyle w:val="PageNumber"/>
        <w:caps w:val="0"/>
      </w:rPr>
      <w:fldChar w:fldCharType="end"/>
    </w:r>
    <w:r>
      <w:rPr>
        <w:rStyle w:val="PageNumber"/>
        <w:caps w:val="0"/>
      </w:rPr>
      <w:t xml:space="preserve">                                              </w:t>
    </w:r>
    <w:r w:rsidR="005114E4">
      <w:t>TOP-UP Call GUIDELINES</w:t>
    </w:r>
  </w:p>
  <w:p w14:paraId="7D80D53F" w14:textId="6FE90886" w:rsidR="00AB4AE8" w:rsidRDefault="00AB4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1774" w14:textId="77777777" w:rsidR="00624D3E" w:rsidRDefault="0062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2060F" w14:textId="77777777" w:rsidR="00843EA2" w:rsidRDefault="00843EA2">
      <w:r>
        <w:separator/>
      </w:r>
    </w:p>
  </w:footnote>
  <w:footnote w:type="continuationSeparator" w:id="0">
    <w:p w14:paraId="4719DDEB" w14:textId="77777777" w:rsidR="00843EA2" w:rsidRDefault="00843EA2">
      <w:r>
        <w:continuationSeparator/>
      </w:r>
    </w:p>
  </w:footnote>
  <w:footnote w:type="continuationNotice" w:id="1">
    <w:p w14:paraId="6B214B74" w14:textId="77777777" w:rsidR="00843EA2" w:rsidRDefault="00843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8ED58" w14:textId="77777777" w:rsidR="00624D3E" w:rsidRDefault="00624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E6630" w14:textId="2E29EEE6" w:rsidR="00AB4AE8" w:rsidRDefault="006A6F28" w:rsidP="00EA0709">
    <w:pPr>
      <w:ind w:left="2880"/>
      <w:rPr>
        <w:b/>
        <w:sz w:val="28"/>
        <w:szCs w:val="32"/>
      </w:rPr>
    </w:pPr>
    <w:r>
      <w:rPr>
        <w:b/>
        <w:noProof/>
        <w:sz w:val="28"/>
        <w:szCs w:val="32"/>
      </w:rPr>
      <w:drawing>
        <wp:anchor distT="0" distB="0" distL="114300" distR="114300" simplePos="0" relativeHeight="251669504" behindDoc="0" locked="0" layoutInCell="1" allowOverlap="1" wp14:anchorId="245397FD" wp14:editId="32D4575C">
          <wp:simplePos x="0" y="0"/>
          <wp:positionH relativeFrom="margin">
            <wp:posOffset>4704715</wp:posOffset>
          </wp:positionH>
          <wp:positionV relativeFrom="paragraph">
            <wp:posOffset>5715</wp:posOffset>
          </wp:positionV>
          <wp:extent cx="2140585" cy="584835"/>
          <wp:effectExtent l="0" t="0" r="0" b="5715"/>
          <wp:wrapSquare wrapText="bothSides"/>
          <wp:docPr id="2"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pic:cNvPicPr/>
                </pic:nvPicPr>
                <pic:blipFill>
                  <a:blip r:embed="rId1"/>
                  <a:stretch>
                    <a:fillRect/>
                  </a:stretch>
                </pic:blipFill>
                <pic:spPr>
                  <a:xfrm>
                    <a:off x="0" y="0"/>
                    <a:ext cx="2140585" cy="584835"/>
                  </a:xfrm>
                  <a:prstGeom prst="rect">
                    <a:avLst/>
                  </a:prstGeom>
                </pic:spPr>
              </pic:pic>
            </a:graphicData>
          </a:graphic>
          <wp14:sizeRelH relativeFrom="page">
            <wp14:pctWidth>0</wp14:pctWidth>
          </wp14:sizeRelH>
          <wp14:sizeRelV relativeFrom="page">
            <wp14:pctHeight>0</wp14:pctHeight>
          </wp14:sizeRelV>
        </wp:anchor>
      </w:drawing>
    </w:r>
    <w:r w:rsidR="00EA0709" w:rsidRPr="00764175">
      <w:rPr>
        <w:noProof/>
      </w:rPr>
      <w:drawing>
        <wp:anchor distT="0" distB="0" distL="114300" distR="114300" simplePos="0" relativeHeight="251657216" behindDoc="0" locked="0" layoutInCell="1" allowOverlap="1" wp14:anchorId="199FD919" wp14:editId="7AB333DC">
          <wp:simplePos x="0" y="0"/>
          <wp:positionH relativeFrom="margin">
            <wp:posOffset>-209550</wp:posOffset>
          </wp:positionH>
          <wp:positionV relativeFrom="paragraph">
            <wp:posOffset>9525</wp:posOffset>
          </wp:positionV>
          <wp:extent cx="1899920" cy="498475"/>
          <wp:effectExtent l="0" t="0" r="5080" b="0"/>
          <wp:wrapSquare wrapText="bothSides"/>
          <wp:docPr id="347762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62480" name=""/>
                  <pic:cNvPicPr/>
                </pic:nvPicPr>
                <pic:blipFill rotWithShape="1">
                  <a:blip r:embed="rId2">
                    <a:extLst>
                      <a:ext uri="{28A0092B-C50C-407E-A947-70E740481C1C}">
                        <a14:useLocalDpi xmlns:a14="http://schemas.microsoft.com/office/drawing/2010/main" val="0"/>
                      </a:ext>
                    </a:extLst>
                  </a:blip>
                  <a:srcRect t="12830" r="62304"/>
                  <a:stretch/>
                </pic:blipFill>
                <pic:spPr bwMode="auto">
                  <a:xfrm>
                    <a:off x="0" y="0"/>
                    <a:ext cx="1899920" cy="498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4AE8" w:rsidRPr="002243CA">
      <w:rPr>
        <w:rFonts w:cs="Arial"/>
        <w:b/>
        <w:caps/>
        <w:spacing w:val="10"/>
        <w:sz w:val="28"/>
        <w:szCs w:val="32"/>
      </w:rPr>
      <w:t xml:space="preserve">Guidelines for </w:t>
    </w:r>
    <w:r w:rsidR="00007818">
      <w:rPr>
        <w:rFonts w:cs="Arial"/>
        <w:b/>
        <w:caps/>
        <w:spacing w:val="10"/>
        <w:sz w:val="28"/>
        <w:szCs w:val="32"/>
      </w:rPr>
      <w:t>CRUK</w:t>
    </w:r>
    <w:r w:rsidR="00EA79DB">
      <w:rPr>
        <w:rFonts w:cs="Arial"/>
        <w:b/>
        <w:caps/>
        <w:spacing w:val="10"/>
        <w:sz w:val="28"/>
        <w:szCs w:val="32"/>
      </w:rPr>
      <w:t xml:space="preserve"> CSC-</w:t>
    </w:r>
    <w:r w:rsidR="00AB4AE8">
      <w:rPr>
        <w:rFonts w:cs="Arial"/>
        <w:b/>
        <w:caps/>
        <w:spacing w:val="10"/>
        <w:sz w:val="28"/>
        <w:szCs w:val="32"/>
      </w:rPr>
      <w:t>ICB</w:t>
    </w:r>
    <w:r w:rsidR="00EA79DB">
      <w:rPr>
        <w:rFonts w:cs="Arial"/>
        <w:b/>
        <w:caps/>
        <w:spacing w:val="10"/>
        <w:sz w:val="28"/>
        <w:szCs w:val="32"/>
      </w:rPr>
      <w:t xml:space="preserve"> CDT</w:t>
    </w:r>
    <w:r w:rsidR="00AB4AE8">
      <w:rPr>
        <w:rFonts w:cs="Arial"/>
        <w:b/>
        <w:caps/>
        <w:spacing w:val="10"/>
        <w:sz w:val="28"/>
        <w:szCs w:val="32"/>
      </w:rPr>
      <w:t xml:space="preserve"> </w:t>
    </w:r>
    <w:r w:rsidR="00AB4AE8" w:rsidRPr="002243CA">
      <w:rPr>
        <w:rFonts w:cs="Arial"/>
        <w:b/>
        <w:caps/>
        <w:spacing w:val="10"/>
        <w:sz w:val="28"/>
        <w:szCs w:val="32"/>
      </w:rPr>
      <w:t>Stude</w:t>
    </w:r>
    <w:r w:rsidR="00756147">
      <w:rPr>
        <w:rFonts w:cs="Arial"/>
        <w:b/>
        <w:caps/>
        <w:spacing w:val="10"/>
        <w:sz w:val="28"/>
        <w:szCs w:val="32"/>
      </w:rPr>
      <w:t>NT</w:t>
    </w:r>
    <w:r w:rsidR="00AB4AE8" w:rsidRPr="002243CA">
      <w:rPr>
        <w:rFonts w:cs="Arial"/>
        <w:b/>
        <w:caps/>
        <w:spacing w:val="10"/>
        <w:sz w:val="28"/>
        <w:szCs w:val="32"/>
      </w:rPr>
      <w:t>ship Applications</w:t>
    </w:r>
    <w:r w:rsidR="00B21BD3">
      <w:rPr>
        <w:rFonts w:cs="Arial"/>
        <w:b/>
        <w:caps/>
        <w:spacing w:val="10"/>
        <w:sz w:val="28"/>
        <w:szCs w:val="32"/>
      </w:rPr>
      <w:t xml:space="preserve"> </w:t>
    </w:r>
    <w:r w:rsidR="00AB4AE8" w:rsidRPr="000A0A27">
      <w:rPr>
        <w:b/>
        <w:sz w:val="28"/>
        <w:szCs w:val="32"/>
      </w:rPr>
      <w:t>20</w:t>
    </w:r>
    <w:r w:rsidR="005B5F08">
      <w:rPr>
        <w:b/>
        <w:sz w:val="28"/>
        <w:szCs w:val="32"/>
      </w:rPr>
      <w:t>2</w:t>
    </w:r>
    <w:r w:rsidR="00EA79DB">
      <w:rPr>
        <w:b/>
        <w:sz w:val="28"/>
        <w:szCs w:val="32"/>
      </w:rPr>
      <w:t>5</w:t>
    </w:r>
    <w:r w:rsidR="00AB6A12">
      <w:rPr>
        <w:b/>
        <w:sz w:val="28"/>
        <w:szCs w:val="32"/>
      </w:rPr>
      <w:t>/2</w:t>
    </w:r>
    <w:r w:rsidR="00EA79DB">
      <w:rPr>
        <w:b/>
        <w:sz w:val="28"/>
        <w:szCs w:val="32"/>
      </w:rPr>
      <w:t>6</w:t>
    </w:r>
    <w:r>
      <w:rPr>
        <w:b/>
        <w:sz w:val="28"/>
        <w:szCs w:val="32"/>
      </w:rPr>
      <w:t xml:space="preserve"> ENTRY</w:t>
    </w:r>
  </w:p>
  <w:p w14:paraId="44F76E90" w14:textId="1B3F5F13" w:rsidR="0075389E" w:rsidRPr="006A6F28" w:rsidRDefault="0075389E" w:rsidP="006A6F28">
    <w:pPr>
      <w:pStyle w:val="Header"/>
      <w:tabs>
        <w:tab w:val="left" w:pos="465"/>
      </w:tabs>
      <w:rPr>
        <w:b/>
      </w:rPr>
    </w:pPr>
  </w:p>
  <w:p w14:paraId="59966CA9" w14:textId="77777777" w:rsidR="00CD6563" w:rsidRDefault="00CD65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45626" w14:textId="77777777" w:rsidR="00624D3E" w:rsidRDefault="00624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13AF6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1227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7401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A63E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6CAA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70AB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9E16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D275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8EF5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1E7E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F1E63"/>
    <w:multiLevelType w:val="hybridMultilevel"/>
    <w:tmpl w:val="4E2EA624"/>
    <w:lvl w:ilvl="0" w:tplc="3130627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677E2A"/>
    <w:multiLevelType w:val="hybridMultilevel"/>
    <w:tmpl w:val="5C66295C"/>
    <w:lvl w:ilvl="0" w:tplc="51A217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446F8"/>
    <w:multiLevelType w:val="hybridMultilevel"/>
    <w:tmpl w:val="D99CD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640FF2"/>
    <w:multiLevelType w:val="hybridMultilevel"/>
    <w:tmpl w:val="C758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66EBE"/>
    <w:multiLevelType w:val="hybridMultilevel"/>
    <w:tmpl w:val="1000518A"/>
    <w:lvl w:ilvl="0" w:tplc="91ACF98A">
      <w:start w:val="1"/>
      <w:numFmt w:val="decimal"/>
      <w:lvlText w:val="%1."/>
      <w:lvlJc w:val="left"/>
      <w:pPr>
        <w:ind w:left="720" w:hanging="360"/>
      </w:pPr>
      <w:rPr>
        <w:b/>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392C45"/>
    <w:multiLevelType w:val="hybridMultilevel"/>
    <w:tmpl w:val="FD2895C4"/>
    <w:lvl w:ilvl="0" w:tplc="0809000F">
      <w:start w:val="1"/>
      <w:numFmt w:val="decimal"/>
      <w:lvlText w:val="%1."/>
      <w:lvlJc w:val="left"/>
      <w:pPr>
        <w:ind w:left="827" w:hanging="360"/>
      </w:pPr>
      <w:rPr>
        <w:rFonts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6" w15:restartNumberingAfterBreak="0">
    <w:nsid w:val="330A4701"/>
    <w:multiLevelType w:val="hybridMultilevel"/>
    <w:tmpl w:val="8FCC006E"/>
    <w:lvl w:ilvl="0" w:tplc="BD04E8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0D03ED"/>
    <w:multiLevelType w:val="hybridMultilevel"/>
    <w:tmpl w:val="3282202A"/>
    <w:lvl w:ilvl="0" w:tplc="31B42C7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A2819"/>
    <w:multiLevelType w:val="multilevel"/>
    <w:tmpl w:val="254E64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19" w15:restartNumberingAfterBreak="0">
    <w:nsid w:val="426153D2"/>
    <w:multiLevelType w:val="hybridMultilevel"/>
    <w:tmpl w:val="A3F214FE"/>
    <w:lvl w:ilvl="0" w:tplc="A0208FEC">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2F7C9E"/>
    <w:multiLevelType w:val="multilevel"/>
    <w:tmpl w:val="78A48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4F6FC5"/>
    <w:multiLevelType w:val="hybridMultilevel"/>
    <w:tmpl w:val="9AF65A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B357EF"/>
    <w:multiLevelType w:val="hybridMultilevel"/>
    <w:tmpl w:val="DB18D49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D475A8"/>
    <w:multiLevelType w:val="hybridMultilevel"/>
    <w:tmpl w:val="FF1EEE36"/>
    <w:lvl w:ilvl="0" w:tplc="4658EDF2">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21434C3"/>
    <w:multiLevelType w:val="hybridMultilevel"/>
    <w:tmpl w:val="CE9CDA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2462C9E"/>
    <w:multiLevelType w:val="hybridMultilevel"/>
    <w:tmpl w:val="DAF6B522"/>
    <w:lvl w:ilvl="0" w:tplc="5A225452">
      <w:start w:val="1"/>
      <w:numFmt w:val="bullet"/>
      <w:lvlText w:val=""/>
      <w:lvlJc w:val="left"/>
      <w:pPr>
        <w:tabs>
          <w:tab w:val="num" w:pos="720"/>
        </w:tabs>
        <w:ind w:left="720" w:hanging="360"/>
      </w:pPr>
      <w:rPr>
        <w:rFonts w:ascii="Symbol" w:hAnsi="Symbol" w:hint="default"/>
      </w:rPr>
    </w:lvl>
    <w:lvl w:ilvl="1" w:tplc="6262B3AC" w:tentative="1">
      <w:start w:val="1"/>
      <w:numFmt w:val="bullet"/>
      <w:lvlText w:val="o"/>
      <w:lvlJc w:val="left"/>
      <w:pPr>
        <w:tabs>
          <w:tab w:val="num" w:pos="1440"/>
        </w:tabs>
        <w:ind w:left="1440" w:hanging="360"/>
      </w:pPr>
      <w:rPr>
        <w:rFonts w:ascii="Courier New" w:hAnsi="Courier New" w:hint="default"/>
      </w:rPr>
    </w:lvl>
    <w:lvl w:ilvl="2" w:tplc="490A990E" w:tentative="1">
      <w:start w:val="1"/>
      <w:numFmt w:val="bullet"/>
      <w:lvlText w:val=""/>
      <w:lvlJc w:val="left"/>
      <w:pPr>
        <w:tabs>
          <w:tab w:val="num" w:pos="2160"/>
        </w:tabs>
        <w:ind w:left="2160" w:hanging="360"/>
      </w:pPr>
      <w:rPr>
        <w:rFonts w:ascii="Wingdings" w:hAnsi="Wingdings" w:hint="default"/>
      </w:rPr>
    </w:lvl>
    <w:lvl w:ilvl="3" w:tplc="589CF2AE" w:tentative="1">
      <w:start w:val="1"/>
      <w:numFmt w:val="bullet"/>
      <w:lvlText w:val=""/>
      <w:lvlJc w:val="left"/>
      <w:pPr>
        <w:tabs>
          <w:tab w:val="num" w:pos="2880"/>
        </w:tabs>
        <w:ind w:left="2880" w:hanging="360"/>
      </w:pPr>
      <w:rPr>
        <w:rFonts w:ascii="Symbol" w:hAnsi="Symbol" w:hint="default"/>
      </w:rPr>
    </w:lvl>
    <w:lvl w:ilvl="4" w:tplc="A32C570C" w:tentative="1">
      <w:start w:val="1"/>
      <w:numFmt w:val="bullet"/>
      <w:lvlText w:val="o"/>
      <w:lvlJc w:val="left"/>
      <w:pPr>
        <w:tabs>
          <w:tab w:val="num" w:pos="3600"/>
        </w:tabs>
        <w:ind w:left="3600" w:hanging="360"/>
      </w:pPr>
      <w:rPr>
        <w:rFonts w:ascii="Courier New" w:hAnsi="Courier New" w:hint="default"/>
      </w:rPr>
    </w:lvl>
    <w:lvl w:ilvl="5" w:tplc="CB007554" w:tentative="1">
      <w:start w:val="1"/>
      <w:numFmt w:val="bullet"/>
      <w:lvlText w:val=""/>
      <w:lvlJc w:val="left"/>
      <w:pPr>
        <w:tabs>
          <w:tab w:val="num" w:pos="4320"/>
        </w:tabs>
        <w:ind w:left="4320" w:hanging="360"/>
      </w:pPr>
      <w:rPr>
        <w:rFonts w:ascii="Wingdings" w:hAnsi="Wingdings" w:hint="default"/>
      </w:rPr>
    </w:lvl>
    <w:lvl w:ilvl="6" w:tplc="9C5E5E4A" w:tentative="1">
      <w:start w:val="1"/>
      <w:numFmt w:val="bullet"/>
      <w:lvlText w:val=""/>
      <w:lvlJc w:val="left"/>
      <w:pPr>
        <w:tabs>
          <w:tab w:val="num" w:pos="5040"/>
        </w:tabs>
        <w:ind w:left="5040" w:hanging="360"/>
      </w:pPr>
      <w:rPr>
        <w:rFonts w:ascii="Symbol" w:hAnsi="Symbol" w:hint="default"/>
      </w:rPr>
    </w:lvl>
    <w:lvl w:ilvl="7" w:tplc="CBF056B0" w:tentative="1">
      <w:start w:val="1"/>
      <w:numFmt w:val="bullet"/>
      <w:lvlText w:val="o"/>
      <w:lvlJc w:val="left"/>
      <w:pPr>
        <w:tabs>
          <w:tab w:val="num" w:pos="5760"/>
        </w:tabs>
        <w:ind w:left="5760" w:hanging="360"/>
      </w:pPr>
      <w:rPr>
        <w:rFonts w:ascii="Courier New" w:hAnsi="Courier New" w:hint="default"/>
      </w:rPr>
    </w:lvl>
    <w:lvl w:ilvl="8" w:tplc="06CC3A8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184974"/>
    <w:multiLevelType w:val="hybridMultilevel"/>
    <w:tmpl w:val="4D42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AC26CE"/>
    <w:multiLevelType w:val="hybridMultilevel"/>
    <w:tmpl w:val="BC96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949752">
    <w:abstractNumId w:val="16"/>
  </w:num>
  <w:num w:numId="2" w16cid:durableId="1498690504">
    <w:abstractNumId w:val="22"/>
  </w:num>
  <w:num w:numId="3" w16cid:durableId="1706708992">
    <w:abstractNumId w:val="23"/>
  </w:num>
  <w:num w:numId="4" w16cid:durableId="367994533">
    <w:abstractNumId w:val="12"/>
  </w:num>
  <w:num w:numId="5" w16cid:durableId="1878656715">
    <w:abstractNumId w:val="7"/>
  </w:num>
  <w:num w:numId="6" w16cid:durableId="665399984">
    <w:abstractNumId w:val="17"/>
  </w:num>
  <w:num w:numId="7" w16cid:durableId="1933929756">
    <w:abstractNumId w:val="17"/>
  </w:num>
  <w:num w:numId="8" w16cid:durableId="1181966809">
    <w:abstractNumId w:val="8"/>
  </w:num>
  <w:num w:numId="9" w16cid:durableId="694576628">
    <w:abstractNumId w:val="10"/>
  </w:num>
  <w:num w:numId="10" w16cid:durableId="1436242006">
    <w:abstractNumId w:val="20"/>
  </w:num>
  <w:num w:numId="11" w16cid:durableId="1000815661">
    <w:abstractNumId w:val="19"/>
  </w:num>
  <w:num w:numId="12" w16cid:durableId="1238441898">
    <w:abstractNumId w:val="9"/>
  </w:num>
  <w:num w:numId="13" w16cid:durableId="1878590136">
    <w:abstractNumId w:val="6"/>
  </w:num>
  <w:num w:numId="14" w16cid:durableId="1711613624">
    <w:abstractNumId w:val="5"/>
  </w:num>
  <w:num w:numId="15" w16cid:durableId="1739592676">
    <w:abstractNumId w:val="4"/>
  </w:num>
  <w:num w:numId="16" w16cid:durableId="554662948">
    <w:abstractNumId w:val="3"/>
  </w:num>
  <w:num w:numId="17" w16cid:durableId="754396314">
    <w:abstractNumId w:val="2"/>
  </w:num>
  <w:num w:numId="18" w16cid:durableId="243027928">
    <w:abstractNumId w:val="1"/>
  </w:num>
  <w:num w:numId="19" w16cid:durableId="1831169982">
    <w:abstractNumId w:val="0"/>
  </w:num>
  <w:num w:numId="20" w16cid:durableId="1403983218">
    <w:abstractNumId w:val="15"/>
  </w:num>
  <w:num w:numId="21" w16cid:durableId="164325299">
    <w:abstractNumId w:val="21"/>
  </w:num>
  <w:num w:numId="22" w16cid:durableId="1919706726">
    <w:abstractNumId w:val="18"/>
  </w:num>
  <w:num w:numId="23" w16cid:durableId="962538000">
    <w:abstractNumId w:val="13"/>
  </w:num>
  <w:num w:numId="24" w16cid:durableId="924847270">
    <w:abstractNumId w:val="26"/>
  </w:num>
  <w:num w:numId="25" w16cid:durableId="495071120">
    <w:abstractNumId w:val="25"/>
  </w:num>
  <w:num w:numId="26" w16cid:durableId="841242502">
    <w:abstractNumId w:val="27"/>
  </w:num>
  <w:num w:numId="27" w16cid:durableId="293221853">
    <w:abstractNumId w:val="14"/>
  </w:num>
  <w:num w:numId="28" w16cid:durableId="21905012">
    <w:abstractNumId w:val="11"/>
  </w:num>
  <w:num w:numId="29" w16cid:durableId="219816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0663332">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BA"/>
    <w:rsid w:val="000003D1"/>
    <w:rsid w:val="000025B0"/>
    <w:rsid w:val="00002F8B"/>
    <w:rsid w:val="0000755B"/>
    <w:rsid w:val="00007818"/>
    <w:rsid w:val="00012607"/>
    <w:rsid w:val="00023F50"/>
    <w:rsid w:val="00030FE8"/>
    <w:rsid w:val="00036480"/>
    <w:rsid w:val="00036885"/>
    <w:rsid w:val="000407A8"/>
    <w:rsid w:val="00041093"/>
    <w:rsid w:val="00043F30"/>
    <w:rsid w:val="00053F36"/>
    <w:rsid w:val="00055495"/>
    <w:rsid w:val="00057711"/>
    <w:rsid w:val="0006224E"/>
    <w:rsid w:val="00080A96"/>
    <w:rsid w:val="000827F2"/>
    <w:rsid w:val="0008637F"/>
    <w:rsid w:val="000874D7"/>
    <w:rsid w:val="0009398B"/>
    <w:rsid w:val="000A0904"/>
    <w:rsid w:val="000A0A27"/>
    <w:rsid w:val="000A5CEA"/>
    <w:rsid w:val="000C4EE1"/>
    <w:rsid w:val="000D1351"/>
    <w:rsid w:val="000D380C"/>
    <w:rsid w:val="000D6457"/>
    <w:rsid w:val="000E7827"/>
    <w:rsid w:val="000F0227"/>
    <w:rsid w:val="000F2DF5"/>
    <w:rsid w:val="000F3371"/>
    <w:rsid w:val="001003D5"/>
    <w:rsid w:val="00101354"/>
    <w:rsid w:val="00104125"/>
    <w:rsid w:val="00111DD7"/>
    <w:rsid w:val="00113EF9"/>
    <w:rsid w:val="00114F80"/>
    <w:rsid w:val="00120BD5"/>
    <w:rsid w:val="00127425"/>
    <w:rsid w:val="00134AF6"/>
    <w:rsid w:val="00134B1B"/>
    <w:rsid w:val="001432E6"/>
    <w:rsid w:val="00146D53"/>
    <w:rsid w:val="00153AE1"/>
    <w:rsid w:val="00156DCE"/>
    <w:rsid w:val="00156F1C"/>
    <w:rsid w:val="00157334"/>
    <w:rsid w:val="00160AB7"/>
    <w:rsid w:val="00162504"/>
    <w:rsid w:val="0016260B"/>
    <w:rsid w:val="001714F7"/>
    <w:rsid w:val="00171C72"/>
    <w:rsid w:val="001735F1"/>
    <w:rsid w:val="00175A46"/>
    <w:rsid w:val="0018162B"/>
    <w:rsid w:val="0018369B"/>
    <w:rsid w:val="00183C0D"/>
    <w:rsid w:val="0019243F"/>
    <w:rsid w:val="001A0EFA"/>
    <w:rsid w:val="001C5CC1"/>
    <w:rsid w:val="001C6E09"/>
    <w:rsid w:val="001D0F23"/>
    <w:rsid w:val="001D6300"/>
    <w:rsid w:val="001D6B3C"/>
    <w:rsid w:val="001E31F2"/>
    <w:rsid w:val="001E35F6"/>
    <w:rsid w:val="001E4B4C"/>
    <w:rsid w:val="001E7328"/>
    <w:rsid w:val="001F4AB8"/>
    <w:rsid w:val="001F5599"/>
    <w:rsid w:val="001F7D24"/>
    <w:rsid w:val="00203B7F"/>
    <w:rsid w:val="002075C4"/>
    <w:rsid w:val="00222587"/>
    <w:rsid w:val="002243CA"/>
    <w:rsid w:val="00232C99"/>
    <w:rsid w:val="002523A1"/>
    <w:rsid w:val="0027123A"/>
    <w:rsid w:val="002761D5"/>
    <w:rsid w:val="00277D69"/>
    <w:rsid w:val="002828BA"/>
    <w:rsid w:val="002949D3"/>
    <w:rsid w:val="002962F0"/>
    <w:rsid w:val="00296672"/>
    <w:rsid w:val="00297623"/>
    <w:rsid w:val="002A7ECD"/>
    <w:rsid w:val="002B1104"/>
    <w:rsid w:val="002B4691"/>
    <w:rsid w:val="002C0299"/>
    <w:rsid w:val="002C02C6"/>
    <w:rsid w:val="002C22FA"/>
    <w:rsid w:val="002C2AD1"/>
    <w:rsid w:val="002C6582"/>
    <w:rsid w:val="002C72F0"/>
    <w:rsid w:val="002D1DD6"/>
    <w:rsid w:val="002D5484"/>
    <w:rsid w:val="002F1274"/>
    <w:rsid w:val="002F246C"/>
    <w:rsid w:val="002F4ABD"/>
    <w:rsid w:val="002F5D00"/>
    <w:rsid w:val="00303ACE"/>
    <w:rsid w:val="00313A45"/>
    <w:rsid w:val="003150E7"/>
    <w:rsid w:val="00315249"/>
    <w:rsid w:val="00315284"/>
    <w:rsid w:val="00320B0B"/>
    <w:rsid w:val="00323C3C"/>
    <w:rsid w:val="00324766"/>
    <w:rsid w:val="0032754E"/>
    <w:rsid w:val="00330157"/>
    <w:rsid w:val="003308DC"/>
    <w:rsid w:val="003309BC"/>
    <w:rsid w:val="00332653"/>
    <w:rsid w:val="003343BF"/>
    <w:rsid w:val="003353B8"/>
    <w:rsid w:val="00353DF4"/>
    <w:rsid w:val="0035516E"/>
    <w:rsid w:val="00361B46"/>
    <w:rsid w:val="00365DE4"/>
    <w:rsid w:val="00366F04"/>
    <w:rsid w:val="00375E6E"/>
    <w:rsid w:val="003767F6"/>
    <w:rsid w:val="00382C4E"/>
    <w:rsid w:val="00384C41"/>
    <w:rsid w:val="00393B20"/>
    <w:rsid w:val="003A2709"/>
    <w:rsid w:val="003A34E5"/>
    <w:rsid w:val="003A4C99"/>
    <w:rsid w:val="003B552D"/>
    <w:rsid w:val="003B59D0"/>
    <w:rsid w:val="003C3A87"/>
    <w:rsid w:val="003C561C"/>
    <w:rsid w:val="003C6CC3"/>
    <w:rsid w:val="003D5B0F"/>
    <w:rsid w:val="003E46F8"/>
    <w:rsid w:val="003F042F"/>
    <w:rsid w:val="0040141F"/>
    <w:rsid w:val="00401688"/>
    <w:rsid w:val="00402800"/>
    <w:rsid w:val="00417AB1"/>
    <w:rsid w:val="00417C05"/>
    <w:rsid w:val="0042096F"/>
    <w:rsid w:val="00423EF3"/>
    <w:rsid w:val="00426BE8"/>
    <w:rsid w:val="00431228"/>
    <w:rsid w:val="00443DA0"/>
    <w:rsid w:val="004533FA"/>
    <w:rsid w:val="004542CD"/>
    <w:rsid w:val="00455B5B"/>
    <w:rsid w:val="0045696D"/>
    <w:rsid w:val="00466602"/>
    <w:rsid w:val="004704CF"/>
    <w:rsid w:val="004717D4"/>
    <w:rsid w:val="00472359"/>
    <w:rsid w:val="00472606"/>
    <w:rsid w:val="00474791"/>
    <w:rsid w:val="004754E7"/>
    <w:rsid w:val="00480710"/>
    <w:rsid w:val="004854B3"/>
    <w:rsid w:val="00496857"/>
    <w:rsid w:val="004A65AD"/>
    <w:rsid w:val="004B2FF8"/>
    <w:rsid w:val="004C074D"/>
    <w:rsid w:val="004E5D03"/>
    <w:rsid w:val="004F6ABD"/>
    <w:rsid w:val="004F6BEA"/>
    <w:rsid w:val="005114E4"/>
    <w:rsid w:val="00512F5D"/>
    <w:rsid w:val="00516F33"/>
    <w:rsid w:val="00517D71"/>
    <w:rsid w:val="00535601"/>
    <w:rsid w:val="00535F8F"/>
    <w:rsid w:val="00537EAD"/>
    <w:rsid w:val="005406B6"/>
    <w:rsid w:val="005422F4"/>
    <w:rsid w:val="00542E8F"/>
    <w:rsid w:val="005477A0"/>
    <w:rsid w:val="00552439"/>
    <w:rsid w:val="00554BE4"/>
    <w:rsid w:val="00557CC2"/>
    <w:rsid w:val="005606B0"/>
    <w:rsid w:val="00573B48"/>
    <w:rsid w:val="00575948"/>
    <w:rsid w:val="005759B0"/>
    <w:rsid w:val="00581023"/>
    <w:rsid w:val="00581212"/>
    <w:rsid w:val="0058275A"/>
    <w:rsid w:val="005860F8"/>
    <w:rsid w:val="005901C6"/>
    <w:rsid w:val="005916D7"/>
    <w:rsid w:val="005924E1"/>
    <w:rsid w:val="00595CB8"/>
    <w:rsid w:val="005967B4"/>
    <w:rsid w:val="00596825"/>
    <w:rsid w:val="005B1A2A"/>
    <w:rsid w:val="005B5F08"/>
    <w:rsid w:val="005C115B"/>
    <w:rsid w:val="005C6853"/>
    <w:rsid w:val="005D0060"/>
    <w:rsid w:val="005E35A9"/>
    <w:rsid w:val="005F450E"/>
    <w:rsid w:val="006013DB"/>
    <w:rsid w:val="006052A6"/>
    <w:rsid w:val="00606338"/>
    <w:rsid w:val="00610039"/>
    <w:rsid w:val="006109EA"/>
    <w:rsid w:val="006152B9"/>
    <w:rsid w:val="006159C5"/>
    <w:rsid w:val="00620CC6"/>
    <w:rsid w:val="00624D3E"/>
    <w:rsid w:val="00627EFC"/>
    <w:rsid w:val="0063225B"/>
    <w:rsid w:val="00632FD1"/>
    <w:rsid w:val="006400DE"/>
    <w:rsid w:val="00647EA8"/>
    <w:rsid w:val="0065312C"/>
    <w:rsid w:val="00657734"/>
    <w:rsid w:val="00660F55"/>
    <w:rsid w:val="00661B2A"/>
    <w:rsid w:val="006678A1"/>
    <w:rsid w:val="006704CD"/>
    <w:rsid w:val="0067339E"/>
    <w:rsid w:val="00681A32"/>
    <w:rsid w:val="006844E8"/>
    <w:rsid w:val="00685C10"/>
    <w:rsid w:val="00694950"/>
    <w:rsid w:val="00696738"/>
    <w:rsid w:val="006A5CC3"/>
    <w:rsid w:val="006A6965"/>
    <w:rsid w:val="006A6F28"/>
    <w:rsid w:val="006B36FD"/>
    <w:rsid w:val="006B6904"/>
    <w:rsid w:val="006C03AF"/>
    <w:rsid w:val="006D4717"/>
    <w:rsid w:val="006D60F0"/>
    <w:rsid w:val="006E384C"/>
    <w:rsid w:val="006E6058"/>
    <w:rsid w:val="006F0090"/>
    <w:rsid w:val="006F6AD6"/>
    <w:rsid w:val="007010E8"/>
    <w:rsid w:val="0070429F"/>
    <w:rsid w:val="00722335"/>
    <w:rsid w:val="00727936"/>
    <w:rsid w:val="00734E8F"/>
    <w:rsid w:val="0075224C"/>
    <w:rsid w:val="0075389E"/>
    <w:rsid w:val="00756147"/>
    <w:rsid w:val="00757ADA"/>
    <w:rsid w:val="007606C9"/>
    <w:rsid w:val="00762493"/>
    <w:rsid w:val="00762924"/>
    <w:rsid w:val="00774297"/>
    <w:rsid w:val="00775E51"/>
    <w:rsid w:val="00777539"/>
    <w:rsid w:val="007939B6"/>
    <w:rsid w:val="00795089"/>
    <w:rsid w:val="00796251"/>
    <w:rsid w:val="007A4D51"/>
    <w:rsid w:val="007A7E48"/>
    <w:rsid w:val="007C6952"/>
    <w:rsid w:val="007C6BCC"/>
    <w:rsid w:val="007D42ED"/>
    <w:rsid w:val="007E1BE8"/>
    <w:rsid w:val="007E3BCE"/>
    <w:rsid w:val="007E446D"/>
    <w:rsid w:val="007F3BE3"/>
    <w:rsid w:val="00802C95"/>
    <w:rsid w:val="0081087F"/>
    <w:rsid w:val="00810A8B"/>
    <w:rsid w:val="008121C4"/>
    <w:rsid w:val="00814978"/>
    <w:rsid w:val="00825615"/>
    <w:rsid w:val="00825EE7"/>
    <w:rsid w:val="00826A26"/>
    <w:rsid w:val="00831CCF"/>
    <w:rsid w:val="00835483"/>
    <w:rsid w:val="0083679D"/>
    <w:rsid w:val="008376E7"/>
    <w:rsid w:val="008439A3"/>
    <w:rsid w:val="00843EA2"/>
    <w:rsid w:val="008520DF"/>
    <w:rsid w:val="00853553"/>
    <w:rsid w:val="00867113"/>
    <w:rsid w:val="00870F3E"/>
    <w:rsid w:val="00872132"/>
    <w:rsid w:val="00872173"/>
    <w:rsid w:val="008771F5"/>
    <w:rsid w:val="00881951"/>
    <w:rsid w:val="0088488E"/>
    <w:rsid w:val="00885781"/>
    <w:rsid w:val="00885AA7"/>
    <w:rsid w:val="00890B5F"/>
    <w:rsid w:val="00892564"/>
    <w:rsid w:val="00893A59"/>
    <w:rsid w:val="00896E90"/>
    <w:rsid w:val="00897191"/>
    <w:rsid w:val="008A5F55"/>
    <w:rsid w:val="008B20C6"/>
    <w:rsid w:val="008C1781"/>
    <w:rsid w:val="008C3D42"/>
    <w:rsid w:val="008C5409"/>
    <w:rsid w:val="008C675B"/>
    <w:rsid w:val="008C7A18"/>
    <w:rsid w:val="008D0261"/>
    <w:rsid w:val="008D3610"/>
    <w:rsid w:val="008F14E2"/>
    <w:rsid w:val="008F1812"/>
    <w:rsid w:val="0090173F"/>
    <w:rsid w:val="00905095"/>
    <w:rsid w:val="00906CB4"/>
    <w:rsid w:val="0090733B"/>
    <w:rsid w:val="00914C78"/>
    <w:rsid w:val="009211CD"/>
    <w:rsid w:val="00923663"/>
    <w:rsid w:val="00932FB4"/>
    <w:rsid w:val="00933481"/>
    <w:rsid w:val="00940B38"/>
    <w:rsid w:val="00942D79"/>
    <w:rsid w:val="009432BB"/>
    <w:rsid w:val="00945F14"/>
    <w:rsid w:val="00947379"/>
    <w:rsid w:val="00951B9C"/>
    <w:rsid w:val="00963B40"/>
    <w:rsid w:val="00965401"/>
    <w:rsid w:val="009769F1"/>
    <w:rsid w:val="009818A4"/>
    <w:rsid w:val="00992C45"/>
    <w:rsid w:val="0099607A"/>
    <w:rsid w:val="00997CD7"/>
    <w:rsid w:val="009B6A78"/>
    <w:rsid w:val="009C0C15"/>
    <w:rsid w:val="009C51F1"/>
    <w:rsid w:val="009C625E"/>
    <w:rsid w:val="009D09B0"/>
    <w:rsid w:val="009D0F77"/>
    <w:rsid w:val="009D1540"/>
    <w:rsid w:val="009D5CD2"/>
    <w:rsid w:val="009E03A4"/>
    <w:rsid w:val="009F125F"/>
    <w:rsid w:val="009F20DC"/>
    <w:rsid w:val="009F27B8"/>
    <w:rsid w:val="009F5495"/>
    <w:rsid w:val="009F7E96"/>
    <w:rsid w:val="00A0098C"/>
    <w:rsid w:val="00A05337"/>
    <w:rsid w:val="00A063DC"/>
    <w:rsid w:val="00A24C84"/>
    <w:rsid w:val="00A3136F"/>
    <w:rsid w:val="00A336FF"/>
    <w:rsid w:val="00A41CF9"/>
    <w:rsid w:val="00A43D44"/>
    <w:rsid w:val="00A600B8"/>
    <w:rsid w:val="00A62BEC"/>
    <w:rsid w:val="00A829ED"/>
    <w:rsid w:val="00A86725"/>
    <w:rsid w:val="00AA0FC3"/>
    <w:rsid w:val="00AA1306"/>
    <w:rsid w:val="00AB1AFC"/>
    <w:rsid w:val="00AB4AE8"/>
    <w:rsid w:val="00AB6951"/>
    <w:rsid w:val="00AB6A12"/>
    <w:rsid w:val="00AC0609"/>
    <w:rsid w:val="00AC52B1"/>
    <w:rsid w:val="00AD4D3C"/>
    <w:rsid w:val="00AD7703"/>
    <w:rsid w:val="00AE5857"/>
    <w:rsid w:val="00AF0794"/>
    <w:rsid w:val="00AF44CC"/>
    <w:rsid w:val="00B0137A"/>
    <w:rsid w:val="00B016B6"/>
    <w:rsid w:val="00B05344"/>
    <w:rsid w:val="00B05809"/>
    <w:rsid w:val="00B167E5"/>
    <w:rsid w:val="00B21163"/>
    <w:rsid w:val="00B21BD3"/>
    <w:rsid w:val="00B272A5"/>
    <w:rsid w:val="00B27B3B"/>
    <w:rsid w:val="00B3103D"/>
    <w:rsid w:val="00B334EC"/>
    <w:rsid w:val="00B45CE5"/>
    <w:rsid w:val="00B46647"/>
    <w:rsid w:val="00B53383"/>
    <w:rsid w:val="00B55F9D"/>
    <w:rsid w:val="00B673F3"/>
    <w:rsid w:val="00B84216"/>
    <w:rsid w:val="00B857EC"/>
    <w:rsid w:val="00B90ACA"/>
    <w:rsid w:val="00B9174D"/>
    <w:rsid w:val="00B95283"/>
    <w:rsid w:val="00BA6ABC"/>
    <w:rsid w:val="00BB1984"/>
    <w:rsid w:val="00BB495C"/>
    <w:rsid w:val="00BC5E08"/>
    <w:rsid w:val="00BD24F8"/>
    <w:rsid w:val="00BE1FAB"/>
    <w:rsid w:val="00BE65F2"/>
    <w:rsid w:val="00BE78C6"/>
    <w:rsid w:val="00BF5512"/>
    <w:rsid w:val="00C153D1"/>
    <w:rsid w:val="00C23CB4"/>
    <w:rsid w:val="00C24E95"/>
    <w:rsid w:val="00C32909"/>
    <w:rsid w:val="00C342F4"/>
    <w:rsid w:val="00C36415"/>
    <w:rsid w:val="00C400BA"/>
    <w:rsid w:val="00C40A79"/>
    <w:rsid w:val="00C42369"/>
    <w:rsid w:val="00C46705"/>
    <w:rsid w:val="00C4798E"/>
    <w:rsid w:val="00C563BB"/>
    <w:rsid w:val="00C641AF"/>
    <w:rsid w:val="00C65623"/>
    <w:rsid w:val="00C71ED2"/>
    <w:rsid w:val="00C754D1"/>
    <w:rsid w:val="00C7761D"/>
    <w:rsid w:val="00C80C03"/>
    <w:rsid w:val="00C811A3"/>
    <w:rsid w:val="00C81EBB"/>
    <w:rsid w:val="00C834E6"/>
    <w:rsid w:val="00CB6D20"/>
    <w:rsid w:val="00CD6563"/>
    <w:rsid w:val="00CD6EF4"/>
    <w:rsid w:val="00CE17BF"/>
    <w:rsid w:val="00CE4C73"/>
    <w:rsid w:val="00CE78E9"/>
    <w:rsid w:val="00D0300A"/>
    <w:rsid w:val="00D06A7F"/>
    <w:rsid w:val="00D15A3A"/>
    <w:rsid w:val="00D26850"/>
    <w:rsid w:val="00D31E2E"/>
    <w:rsid w:val="00D44F0E"/>
    <w:rsid w:val="00D50043"/>
    <w:rsid w:val="00D55B5F"/>
    <w:rsid w:val="00D701D9"/>
    <w:rsid w:val="00D7237D"/>
    <w:rsid w:val="00D73CE5"/>
    <w:rsid w:val="00D90C82"/>
    <w:rsid w:val="00D93A84"/>
    <w:rsid w:val="00D93A9C"/>
    <w:rsid w:val="00DA211A"/>
    <w:rsid w:val="00DC03C8"/>
    <w:rsid w:val="00DC7B3A"/>
    <w:rsid w:val="00DC7E06"/>
    <w:rsid w:val="00DD49F1"/>
    <w:rsid w:val="00DE0663"/>
    <w:rsid w:val="00DE1455"/>
    <w:rsid w:val="00DE1ABE"/>
    <w:rsid w:val="00DE49B7"/>
    <w:rsid w:val="00DF2CED"/>
    <w:rsid w:val="00DF4A71"/>
    <w:rsid w:val="00DF69CD"/>
    <w:rsid w:val="00E009CA"/>
    <w:rsid w:val="00E02FA4"/>
    <w:rsid w:val="00E04014"/>
    <w:rsid w:val="00E041C7"/>
    <w:rsid w:val="00E0570B"/>
    <w:rsid w:val="00E0670F"/>
    <w:rsid w:val="00E158B8"/>
    <w:rsid w:val="00E1698B"/>
    <w:rsid w:val="00E16FBC"/>
    <w:rsid w:val="00E17FBA"/>
    <w:rsid w:val="00E220B6"/>
    <w:rsid w:val="00E245EB"/>
    <w:rsid w:val="00E45C43"/>
    <w:rsid w:val="00E5091C"/>
    <w:rsid w:val="00E548B3"/>
    <w:rsid w:val="00E62CE1"/>
    <w:rsid w:val="00E66956"/>
    <w:rsid w:val="00E727A9"/>
    <w:rsid w:val="00E73180"/>
    <w:rsid w:val="00E80F4B"/>
    <w:rsid w:val="00E93F6D"/>
    <w:rsid w:val="00E951E1"/>
    <w:rsid w:val="00EA0709"/>
    <w:rsid w:val="00EA15D7"/>
    <w:rsid w:val="00EA36B1"/>
    <w:rsid w:val="00EA70AD"/>
    <w:rsid w:val="00EA79DB"/>
    <w:rsid w:val="00EB0C79"/>
    <w:rsid w:val="00EB5DC6"/>
    <w:rsid w:val="00EB77A2"/>
    <w:rsid w:val="00EC33F5"/>
    <w:rsid w:val="00ED5441"/>
    <w:rsid w:val="00ED5C0C"/>
    <w:rsid w:val="00ED6193"/>
    <w:rsid w:val="00EE0F25"/>
    <w:rsid w:val="00EE2895"/>
    <w:rsid w:val="00EE60CD"/>
    <w:rsid w:val="00EF18BE"/>
    <w:rsid w:val="00EF6873"/>
    <w:rsid w:val="00F049C5"/>
    <w:rsid w:val="00F10533"/>
    <w:rsid w:val="00F15EAF"/>
    <w:rsid w:val="00F20CEB"/>
    <w:rsid w:val="00F27707"/>
    <w:rsid w:val="00F27BCD"/>
    <w:rsid w:val="00F3255C"/>
    <w:rsid w:val="00F3466F"/>
    <w:rsid w:val="00F532E1"/>
    <w:rsid w:val="00F563C4"/>
    <w:rsid w:val="00F5661B"/>
    <w:rsid w:val="00F57AF0"/>
    <w:rsid w:val="00F60B2A"/>
    <w:rsid w:val="00F66E03"/>
    <w:rsid w:val="00F71621"/>
    <w:rsid w:val="00F71D40"/>
    <w:rsid w:val="00F72070"/>
    <w:rsid w:val="00F7576B"/>
    <w:rsid w:val="00F76D02"/>
    <w:rsid w:val="00F76EC7"/>
    <w:rsid w:val="00F949FE"/>
    <w:rsid w:val="00FA3F5F"/>
    <w:rsid w:val="00FA6099"/>
    <w:rsid w:val="00FB09F0"/>
    <w:rsid w:val="00FB5D8D"/>
    <w:rsid w:val="00FB6086"/>
    <w:rsid w:val="00FD2F11"/>
    <w:rsid w:val="00FD3A91"/>
    <w:rsid w:val="00FE351B"/>
    <w:rsid w:val="00FE4946"/>
    <w:rsid w:val="00FE62B7"/>
    <w:rsid w:val="00FE6CDE"/>
    <w:rsid w:val="00FF7A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BDED0E"/>
  <w15:docId w15:val="{6CE8F71A-1D12-41F7-9AC3-7FD26665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2CD"/>
    <w:rPr>
      <w:rFonts w:ascii="Arial" w:eastAsia="Times New Roman" w:hAnsi="Arial"/>
      <w:szCs w:val="24"/>
      <w:lang w:eastAsia="en-US"/>
    </w:rPr>
  </w:style>
  <w:style w:type="paragraph" w:styleId="Heading1">
    <w:name w:val="heading 1"/>
    <w:basedOn w:val="Normal"/>
    <w:next w:val="Normal"/>
    <w:link w:val="Heading1Char"/>
    <w:qFormat/>
    <w:rsid w:val="00CB6D20"/>
    <w:pPr>
      <w:outlineLvl w:val="0"/>
    </w:pPr>
    <w:rPr>
      <w:rFonts w:cs="Arial"/>
      <w:sz w:val="36"/>
      <w:szCs w:val="36"/>
    </w:rPr>
  </w:style>
  <w:style w:type="paragraph" w:styleId="Heading2">
    <w:name w:val="heading 2"/>
    <w:basedOn w:val="Normal"/>
    <w:next w:val="Normal"/>
    <w:qFormat/>
    <w:rsid w:val="00CB6D20"/>
    <w:pPr>
      <w:keepNext/>
      <w:spacing w:before="480"/>
      <w:outlineLvl w:val="1"/>
    </w:pPr>
    <w:rPr>
      <w:rFonts w:cs="Arial"/>
      <w:b/>
      <w:bCs/>
      <w:iCs/>
      <w:color w:val="343E5F"/>
      <w:spacing w:val="2"/>
      <w:sz w:val="24"/>
    </w:rPr>
  </w:style>
  <w:style w:type="paragraph" w:styleId="Heading3">
    <w:name w:val="heading 3"/>
    <w:basedOn w:val="BodyText"/>
    <w:next w:val="Normal"/>
    <w:qFormat/>
    <w:rsid w:val="004542CD"/>
    <w:pPr>
      <w:spacing w:before="120" w:after="60"/>
      <w:outlineLvl w:val="2"/>
    </w:pPr>
    <w:rPr>
      <w:b/>
      <w:sz w:val="21"/>
      <w:szCs w:val="21"/>
    </w:rPr>
  </w:style>
  <w:style w:type="paragraph" w:styleId="Heading4">
    <w:name w:val="heading 4"/>
    <w:basedOn w:val="Normal"/>
    <w:next w:val="Normal"/>
    <w:link w:val="Heading4Char"/>
    <w:qFormat/>
    <w:rsid w:val="00CB6D20"/>
    <w:pPr>
      <w:keepNext/>
      <w:spacing w:before="240"/>
      <w:outlineLvl w:val="3"/>
    </w:pPr>
    <w:rPr>
      <w:rFonts w:ascii="Trebuchet MS" w:hAnsi="Trebuchet MS"/>
      <w:b/>
      <w:bCs/>
      <w:spacing w:val="20"/>
      <w:sz w:val="16"/>
      <w:szCs w:val="16"/>
    </w:rPr>
  </w:style>
  <w:style w:type="paragraph" w:styleId="Heading5">
    <w:name w:val="heading 5"/>
    <w:aliases w:val="Heading (table) 5"/>
    <w:basedOn w:val="Heading4"/>
    <w:next w:val="Normal"/>
    <w:link w:val="Heading5Char"/>
    <w:qFormat/>
    <w:rsid w:val="004542CD"/>
    <w:pPr>
      <w:spacing w:before="80" w:after="20"/>
      <w:outlineLvl w:val="4"/>
    </w:pPr>
    <w:rPr>
      <w:rFonts w:ascii="Arial" w:hAnsi="Arial" w:cs="Arial"/>
      <w:color w:val="FFFFFF"/>
      <w:sz w:val="17"/>
      <w:szCs w:val="18"/>
    </w:rPr>
  </w:style>
  <w:style w:type="paragraph" w:styleId="Heading6">
    <w:name w:val="heading 6"/>
    <w:basedOn w:val="Heading4"/>
    <w:next w:val="Normal"/>
    <w:link w:val="Heading6Char"/>
    <w:qFormat/>
    <w:rsid w:val="00CB6D20"/>
    <w:pPr>
      <w:spacing w:before="80" w:after="40"/>
      <w:outlineLvl w:val="5"/>
    </w:pPr>
  </w:style>
  <w:style w:type="paragraph" w:styleId="Heading8">
    <w:name w:val="heading 8"/>
    <w:basedOn w:val="Normal"/>
    <w:next w:val="Normal"/>
    <w:qFormat/>
    <w:rsid w:val="00417AB1"/>
    <w:pPr>
      <w:spacing w:before="240" w:after="120"/>
      <w:jc w:val="center"/>
      <w:outlineLvl w:val="7"/>
    </w:pPr>
    <w:rPr>
      <w:b/>
      <w:bCs/>
    </w:rPr>
  </w:style>
  <w:style w:type="paragraph" w:styleId="Heading9">
    <w:name w:val="heading 9"/>
    <w:basedOn w:val="Normal"/>
    <w:next w:val="Normal"/>
    <w:qFormat/>
    <w:rsid w:val="00417AB1"/>
    <w:pPr>
      <w:spacing w:before="120"/>
      <w:outlineLvl w:val="8"/>
    </w:pPr>
    <w:rPr>
      <w:b/>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F15EAF"/>
    <w:rPr>
      <w:rFonts w:ascii="Tahoma" w:hAnsi="Tahoma" w:cs="Tahoma"/>
      <w:sz w:val="18"/>
      <w:szCs w:val="16"/>
    </w:rPr>
  </w:style>
  <w:style w:type="paragraph" w:styleId="BodyText">
    <w:name w:val="Body Text"/>
    <w:basedOn w:val="Normal"/>
    <w:link w:val="BodyTextChar"/>
    <w:rsid w:val="004542CD"/>
    <w:pPr>
      <w:spacing w:after="120"/>
    </w:pPr>
    <w:rPr>
      <w:rFonts w:cs="Arial"/>
    </w:rPr>
  </w:style>
  <w:style w:type="paragraph" w:styleId="BodyText2">
    <w:name w:val="Body Text 2"/>
    <w:basedOn w:val="BodyText"/>
    <w:rsid w:val="00CB6D20"/>
    <w:pPr>
      <w:spacing w:after="0"/>
    </w:pPr>
    <w:rPr>
      <w:b/>
    </w:rPr>
  </w:style>
  <w:style w:type="paragraph" w:styleId="BodyText3">
    <w:name w:val="Body Text 3"/>
    <w:basedOn w:val="BodyText"/>
    <w:rsid w:val="00CB6D20"/>
    <w:pPr>
      <w:spacing w:before="40" w:after="0"/>
    </w:pPr>
  </w:style>
  <w:style w:type="paragraph" w:customStyle="1" w:styleId="BodyTextINTROParagraph">
    <w:name w:val="Body Text INTRO Paragraph"/>
    <w:basedOn w:val="Normal"/>
    <w:next w:val="Normal"/>
    <w:link w:val="BodyTextINTROParagraphChar"/>
    <w:rsid w:val="00CB6D20"/>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basedOn w:val="DefaultParagraphFont"/>
    <w:link w:val="BodyTextINTROParagraph"/>
    <w:rsid w:val="00CB6D20"/>
    <w:rPr>
      <w:rFonts w:ascii="Arial" w:hAnsi="Arial" w:cs="Courier New"/>
      <w:b/>
      <w:color w:val="333333"/>
      <w:szCs w:val="24"/>
      <w:lang w:val="en-US" w:eastAsia="en-US" w:bidi="ar-SA"/>
    </w:rPr>
  </w:style>
  <w:style w:type="character" w:styleId="CommentReference">
    <w:name w:val="annotation reference"/>
    <w:basedOn w:val="DefaultParagraphFont"/>
    <w:semiHidden/>
    <w:rsid w:val="00CB6D20"/>
    <w:rPr>
      <w:sz w:val="16"/>
      <w:szCs w:val="16"/>
    </w:rPr>
  </w:style>
  <w:style w:type="paragraph" w:styleId="CommentText">
    <w:name w:val="annotation text"/>
    <w:basedOn w:val="Normal"/>
    <w:semiHidden/>
    <w:rsid w:val="00CB6D20"/>
    <w:rPr>
      <w:szCs w:val="20"/>
    </w:rPr>
  </w:style>
  <w:style w:type="paragraph" w:styleId="CommentSubject">
    <w:name w:val="annotation subject"/>
    <w:basedOn w:val="CommentText"/>
    <w:next w:val="CommentText"/>
    <w:semiHidden/>
    <w:rsid w:val="00CB6D20"/>
    <w:rPr>
      <w:b/>
      <w:bCs/>
    </w:rPr>
  </w:style>
  <w:style w:type="paragraph" w:customStyle="1" w:styleId="Companyname">
    <w:name w:val="Company name"/>
    <w:basedOn w:val="BodyTextINTROParagraph"/>
    <w:next w:val="Normal"/>
    <w:rsid w:val="00CB6D20"/>
    <w:pPr>
      <w:ind w:left="0"/>
    </w:pPr>
    <w:rPr>
      <w:rFonts w:ascii="Trebuchet MS" w:hAnsi="Trebuchet MS"/>
      <w:sz w:val="24"/>
    </w:rPr>
  </w:style>
  <w:style w:type="paragraph" w:styleId="Footer">
    <w:name w:val="footer"/>
    <w:basedOn w:val="Normal"/>
    <w:rsid w:val="00F71D40"/>
    <w:pPr>
      <w:ind w:left="7560" w:hanging="7560"/>
    </w:pPr>
    <w:rPr>
      <w:rFonts w:cs="Arial"/>
      <w:caps/>
      <w:spacing w:val="6"/>
      <w:sz w:val="16"/>
      <w:szCs w:val="16"/>
    </w:rPr>
  </w:style>
  <w:style w:type="paragraph" w:styleId="Header">
    <w:name w:val="header"/>
    <w:basedOn w:val="Normal"/>
    <w:rsid w:val="00CB6D20"/>
    <w:pPr>
      <w:tabs>
        <w:tab w:val="center" w:pos="4320"/>
        <w:tab w:val="right" w:pos="8640"/>
      </w:tabs>
    </w:pPr>
    <w:rPr>
      <w:rFonts w:cs="Arial"/>
      <w:caps/>
      <w:spacing w:val="10"/>
      <w:sz w:val="16"/>
      <w:szCs w:val="16"/>
    </w:rPr>
  </w:style>
  <w:style w:type="character" w:customStyle="1" w:styleId="Heading4Char">
    <w:name w:val="Heading 4 Char"/>
    <w:basedOn w:val="DefaultParagraphFont"/>
    <w:link w:val="Heading4"/>
    <w:rsid w:val="00CB6D20"/>
    <w:rPr>
      <w:rFonts w:ascii="Trebuchet MS" w:hAnsi="Trebuchet MS"/>
      <w:b/>
      <w:bCs/>
      <w:spacing w:val="20"/>
      <w:sz w:val="16"/>
      <w:szCs w:val="16"/>
      <w:lang w:val="en-US" w:eastAsia="en-US" w:bidi="ar-SA"/>
    </w:rPr>
  </w:style>
  <w:style w:type="character" w:customStyle="1" w:styleId="Heading6Char">
    <w:name w:val="Heading 6 Char"/>
    <w:basedOn w:val="Heading4Char"/>
    <w:link w:val="Heading6"/>
    <w:rsid w:val="00CB6D20"/>
    <w:rPr>
      <w:rFonts w:ascii="Trebuchet MS" w:hAnsi="Trebuchet MS"/>
      <w:b/>
      <w:bCs/>
      <w:spacing w:val="20"/>
      <w:sz w:val="16"/>
      <w:szCs w:val="16"/>
      <w:lang w:val="en-US" w:eastAsia="en-US" w:bidi="ar-SA"/>
    </w:rPr>
  </w:style>
  <w:style w:type="character" w:customStyle="1" w:styleId="Heading5Char">
    <w:name w:val="Heading 5 Char"/>
    <w:aliases w:val="Heading (table) 5 Char"/>
    <w:basedOn w:val="Heading6Char"/>
    <w:link w:val="Heading5"/>
    <w:rsid w:val="004542CD"/>
    <w:rPr>
      <w:rFonts w:ascii="Arial" w:hAnsi="Arial" w:cs="Arial"/>
      <w:b/>
      <w:bCs/>
      <w:color w:val="FFFFFF"/>
      <w:spacing w:val="20"/>
      <w:sz w:val="17"/>
      <w:szCs w:val="18"/>
      <w:lang w:val="en-US" w:eastAsia="en-US" w:bidi="ar-SA"/>
    </w:rPr>
  </w:style>
  <w:style w:type="character" w:customStyle="1" w:styleId="Heading1Char">
    <w:name w:val="Heading 1 Char"/>
    <w:basedOn w:val="BodyTextINTROParagraphChar"/>
    <w:link w:val="Heading1"/>
    <w:rsid w:val="00CB6D20"/>
    <w:rPr>
      <w:rFonts w:ascii="Arial" w:hAnsi="Arial" w:cs="Arial"/>
      <w:b/>
      <w:color w:val="333333"/>
      <w:sz w:val="36"/>
      <w:szCs w:val="36"/>
      <w:lang w:val="en-US" w:eastAsia="en-US" w:bidi="ar-SA"/>
    </w:rPr>
  </w:style>
  <w:style w:type="paragraph" w:customStyle="1" w:styleId="IntroBodyText">
    <w:name w:val="Intro Body Text"/>
    <w:basedOn w:val="Normal"/>
    <w:rsid w:val="00CB6D20"/>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rsid w:val="00CB6D20"/>
    <w:pPr>
      <w:numPr>
        <w:numId w:val="11"/>
      </w:numPr>
      <w:spacing w:after="60"/>
    </w:pPr>
  </w:style>
  <w:style w:type="character" w:styleId="PageNumber">
    <w:name w:val="page number"/>
    <w:basedOn w:val="DefaultParagraphFont"/>
    <w:rsid w:val="00CB6D20"/>
  </w:style>
  <w:style w:type="paragraph" w:customStyle="1" w:styleId="StyleBodyTextINTROParagraphCustomColorRGB119119119B">
    <w:name w:val="Style Body Text INTRO Paragraph + Custom Color(RGB(119119119)) B..."/>
    <w:basedOn w:val="BodyTextINTROParagraph"/>
    <w:rsid w:val="00CB6D20"/>
    <w:pPr>
      <w:tabs>
        <w:tab w:val="clear" w:pos="1440"/>
        <w:tab w:val="left" w:pos="0"/>
      </w:tabs>
      <w:spacing w:before="300" w:after="0"/>
      <w:ind w:left="0"/>
    </w:pPr>
    <w:rPr>
      <w:rFonts w:ascii="Trebuchet MS" w:hAnsi="Trebuchet MS" w:cs="Times New Roman"/>
      <w:b w:val="0"/>
      <w:bCs/>
      <w:sz w:val="26"/>
      <w:szCs w:val="26"/>
    </w:rPr>
  </w:style>
  <w:style w:type="paragraph" w:customStyle="1" w:styleId="TableBodyText">
    <w:name w:val="Table Body Text"/>
    <w:basedOn w:val="BodyText"/>
    <w:link w:val="TableBodyTextChar"/>
    <w:rsid w:val="002F1274"/>
    <w:pPr>
      <w:spacing w:before="60" w:after="20"/>
    </w:pPr>
    <w:rPr>
      <w:sz w:val="18"/>
      <w:szCs w:val="18"/>
    </w:rPr>
  </w:style>
  <w:style w:type="paragraph" w:customStyle="1" w:styleId="Tablesubtitle">
    <w:name w:val="Table subtitle"/>
    <w:basedOn w:val="Heading6"/>
    <w:rsid w:val="00CB6D20"/>
    <w:pPr>
      <w:spacing w:before="60" w:after="20"/>
    </w:pPr>
    <w:rPr>
      <w:spacing w:val="10"/>
    </w:rPr>
  </w:style>
  <w:style w:type="paragraph" w:customStyle="1" w:styleId="TableTitle">
    <w:name w:val="Table Title"/>
    <w:next w:val="Heading5"/>
    <w:rsid w:val="00CB6D20"/>
    <w:pPr>
      <w:spacing w:before="360" w:after="40"/>
    </w:pPr>
    <w:rPr>
      <w:rFonts w:ascii="Arial" w:eastAsia="Times New Roman" w:hAnsi="Arial" w:cs="Arial"/>
      <w:b/>
      <w:spacing w:val="2"/>
      <w:lang w:val="en-US" w:eastAsia="en-US"/>
    </w:rPr>
  </w:style>
  <w:style w:type="paragraph" w:styleId="Title">
    <w:name w:val="Title"/>
    <w:basedOn w:val="BodyTextINTROParagraph"/>
    <w:qFormat/>
    <w:rsid w:val="00CB6D20"/>
    <w:pPr>
      <w:spacing w:before="960"/>
      <w:ind w:left="0"/>
    </w:pPr>
    <w:rPr>
      <w:rFonts w:cs="Arial"/>
      <w:b w:val="0"/>
      <w:color w:val="343E5F"/>
      <w:sz w:val="52"/>
      <w:szCs w:val="52"/>
    </w:rPr>
  </w:style>
  <w:style w:type="paragraph" w:customStyle="1" w:styleId="Companyname0">
    <w:name w:val="[Company name]"/>
    <w:basedOn w:val="Normal"/>
    <w:rsid w:val="00CB6D20"/>
    <w:rPr>
      <w:b/>
      <w:sz w:val="24"/>
    </w:rPr>
  </w:style>
  <w:style w:type="paragraph" w:customStyle="1" w:styleId="StyleTableBodyTextItalic">
    <w:name w:val="Style Table Body Text + Italic"/>
    <w:basedOn w:val="TableBodyText"/>
    <w:link w:val="StyleTableBodyTextItalicChar"/>
    <w:rsid w:val="002F1274"/>
    <w:pPr>
      <w:spacing w:before="0" w:after="60"/>
    </w:pPr>
    <w:rPr>
      <w:i/>
      <w:iCs/>
    </w:rPr>
  </w:style>
  <w:style w:type="character" w:customStyle="1" w:styleId="BodyTextChar">
    <w:name w:val="Body Text Char"/>
    <w:basedOn w:val="DefaultParagraphFont"/>
    <w:link w:val="BodyText"/>
    <w:rsid w:val="002F1274"/>
    <w:rPr>
      <w:rFonts w:ascii="Arial" w:hAnsi="Arial" w:cs="Arial"/>
      <w:szCs w:val="24"/>
      <w:lang w:val="en-US" w:eastAsia="en-US" w:bidi="ar-SA"/>
    </w:rPr>
  </w:style>
  <w:style w:type="character" w:customStyle="1" w:styleId="TableBodyTextChar">
    <w:name w:val="Table Body Text Char"/>
    <w:basedOn w:val="BodyTextChar"/>
    <w:link w:val="TableBodyText"/>
    <w:rsid w:val="002F1274"/>
    <w:rPr>
      <w:rFonts w:ascii="Arial" w:hAnsi="Arial" w:cs="Arial"/>
      <w:sz w:val="18"/>
      <w:szCs w:val="18"/>
      <w:lang w:val="en-US" w:eastAsia="en-US" w:bidi="ar-SA"/>
    </w:rPr>
  </w:style>
  <w:style w:type="character" w:customStyle="1" w:styleId="StyleTableBodyTextItalicChar">
    <w:name w:val="Style Table Body Text + Italic Char"/>
    <w:basedOn w:val="TableBodyTextChar"/>
    <w:link w:val="StyleTableBodyTextItalic"/>
    <w:rsid w:val="002F1274"/>
    <w:rPr>
      <w:rFonts w:ascii="Arial" w:hAnsi="Arial" w:cs="Arial"/>
      <w:i/>
      <w:iCs/>
      <w:sz w:val="18"/>
      <w:szCs w:val="18"/>
      <w:lang w:val="en-US" w:eastAsia="en-US" w:bidi="ar-SA"/>
    </w:rPr>
  </w:style>
  <w:style w:type="paragraph" w:styleId="ListParagraph">
    <w:name w:val="List Paragraph"/>
    <w:basedOn w:val="Normal"/>
    <w:uiPriority w:val="99"/>
    <w:qFormat/>
    <w:rsid w:val="00DE1455"/>
    <w:pPr>
      <w:spacing w:after="200" w:line="276" w:lineRule="auto"/>
      <w:ind w:left="720"/>
      <w:contextualSpacing/>
    </w:pPr>
    <w:rPr>
      <w:rFonts w:ascii="Times New Roman" w:eastAsia="Calibri" w:hAnsi="Times New Roman"/>
      <w:sz w:val="24"/>
      <w:szCs w:val="22"/>
    </w:rPr>
  </w:style>
  <w:style w:type="character" w:customStyle="1" w:styleId="apple-style-span">
    <w:name w:val="apple-style-span"/>
    <w:basedOn w:val="DefaultParagraphFont"/>
    <w:rsid w:val="007E446D"/>
  </w:style>
  <w:style w:type="character" w:styleId="Hyperlink">
    <w:name w:val="Hyperlink"/>
    <w:uiPriority w:val="99"/>
    <w:rsid w:val="006F6AD6"/>
    <w:rPr>
      <w:color w:val="0000FF"/>
      <w:u w:val="single"/>
    </w:rPr>
  </w:style>
  <w:style w:type="paragraph" w:styleId="NormalWeb">
    <w:name w:val="Normal (Web)"/>
    <w:basedOn w:val="Normal"/>
    <w:uiPriority w:val="99"/>
    <w:unhideWhenUsed/>
    <w:rsid w:val="00CE17BF"/>
    <w:pPr>
      <w:spacing w:before="100" w:beforeAutospacing="1" w:after="100" w:afterAutospacing="1"/>
      <w:jc w:val="both"/>
    </w:pPr>
    <w:rPr>
      <w:rFonts w:ascii="Calibri" w:hAnsi="Calibri" w:cs="Arial"/>
      <w:sz w:val="24"/>
      <w:lang w:eastAsia="en-GB"/>
    </w:rPr>
  </w:style>
  <w:style w:type="paragraph" w:styleId="FootnoteText">
    <w:name w:val="footnote text"/>
    <w:basedOn w:val="Normal"/>
    <w:link w:val="FootnoteTextChar"/>
    <w:rsid w:val="005406B6"/>
    <w:pPr>
      <w:jc w:val="both"/>
    </w:pPr>
    <w:rPr>
      <w:rFonts w:ascii="Times" w:hAnsi="Times" w:cs="Arial"/>
    </w:rPr>
  </w:style>
  <w:style w:type="character" w:customStyle="1" w:styleId="FootnoteTextChar">
    <w:name w:val="Footnote Text Char"/>
    <w:basedOn w:val="DefaultParagraphFont"/>
    <w:link w:val="FootnoteText"/>
    <w:rsid w:val="005406B6"/>
    <w:rPr>
      <w:rFonts w:ascii="Times" w:eastAsia="Times New Roman" w:hAnsi="Times" w:cs="Arial"/>
      <w:szCs w:val="24"/>
      <w:lang w:eastAsia="en-US"/>
    </w:rPr>
  </w:style>
  <w:style w:type="character" w:styleId="FootnoteReference">
    <w:name w:val="footnote reference"/>
    <w:rsid w:val="005406B6"/>
    <w:rPr>
      <w:vertAlign w:val="superscript"/>
    </w:rPr>
  </w:style>
  <w:style w:type="character" w:styleId="FollowedHyperlink">
    <w:name w:val="FollowedHyperlink"/>
    <w:basedOn w:val="DefaultParagraphFont"/>
    <w:semiHidden/>
    <w:unhideWhenUsed/>
    <w:rsid w:val="00113EF9"/>
    <w:rPr>
      <w:color w:val="800080" w:themeColor="followedHyperlink"/>
      <w:u w:val="single"/>
    </w:rPr>
  </w:style>
  <w:style w:type="paragraph" w:styleId="Revision">
    <w:name w:val="Revision"/>
    <w:hidden/>
    <w:uiPriority w:val="99"/>
    <w:semiHidden/>
    <w:rsid w:val="000A5CEA"/>
    <w:rPr>
      <w:rFonts w:ascii="Arial" w:eastAsia="Times New Roman" w:hAnsi="Arial"/>
      <w:szCs w:val="24"/>
      <w:lang w:val="en-US" w:eastAsia="en-US"/>
    </w:rPr>
  </w:style>
  <w:style w:type="character" w:styleId="PlaceholderText">
    <w:name w:val="Placeholder Text"/>
    <w:basedOn w:val="DefaultParagraphFont"/>
    <w:uiPriority w:val="99"/>
    <w:semiHidden/>
    <w:rsid w:val="000A5CEA"/>
    <w:rPr>
      <w:color w:val="808080"/>
    </w:rPr>
  </w:style>
  <w:style w:type="character" w:styleId="UnresolvedMention">
    <w:name w:val="Unresolved Mention"/>
    <w:basedOn w:val="DefaultParagraphFont"/>
    <w:uiPriority w:val="99"/>
    <w:semiHidden/>
    <w:unhideWhenUsed/>
    <w:rsid w:val="008D3610"/>
    <w:rPr>
      <w:color w:val="808080"/>
      <w:shd w:val="clear" w:color="auto" w:fill="E6E6E6"/>
    </w:rPr>
  </w:style>
  <w:style w:type="character" w:customStyle="1" w:styleId="ui-provider">
    <w:name w:val="ui-provider"/>
    <w:basedOn w:val="DefaultParagraphFont"/>
    <w:rsid w:val="002C0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234947">
      <w:bodyDiv w:val="1"/>
      <w:marLeft w:val="0"/>
      <w:marRight w:val="0"/>
      <w:marTop w:val="0"/>
      <w:marBottom w:val="0"/>
      <w:divBdr>
        <w:top w:val="none" w:sz="0" w:space="0" w:color="auto"/>
        <w:left w:val="none" w:sz="0" w:space="0" w:color="auto"/>
        <w:bottom w:val="none" w:sz="0" w:space="0" w:color="auto"/>
        <w:right w:val="none" w:sz="0" w:space="0" w:color="auto"/>
      </w:divBdr>
    </w:div>
    <w:div w:id="1419981468">
      <w:bodyDiv w:val="1"/>
      <w:marLeft w:val="0"/>
      <w:marRight w:val="0"/>
      <w:marTop w:val="0"/>
      <w:marBottom w:val="0"/>
      <w:divBdr>
        <w:top w:val="none" w:sz="0" w:space="0" w:color="auto"/>
        <w:left w:val="none" w:sz="0" w:space="0" w:color="auto"/>
        <w:bottom w:val="none" w:sz="0" w:space="0" w:color="auto"/>
        <w:right w:val="none" w:sz="0" w:space="0" w:color="auto"/>
      </w:divBdr>
    </w:div>
    <w:div w:id="205422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chemical-biology/cdt/about-us/supervisors/" TargetMode="External"/><Relationship Id="rId13" Type="http://schemas.openxmlformats.org/officeDocument/2006/relationships/hyperlink" Target="mailto:icr-imperial-convergence.centre@imperial.ac.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icbadmin@imperial.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councils/epsrc/guidance-for-applicants/what-to-include-in-your-proposal/health-technologies-impact-and-translation-toolkit/research-integrity-in-healthcare-technologies/responsible-research-and-innov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onvergencesciencecentre.ac.uk/research/resesearch-themes/multidisciplinary-discovery-researc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cr.ac.uk/our-research/researchers-and-groups"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b\AppData\Local\Chemistry%20Add-in%20for%20Word\Chemistry%20Gallery\Chem4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96ED0CD6544785961755EC96BCF3F9"/>
        <w:category>
          <w:name w:val="General"/>
          <w:gallery w:val="placeholder"/>
        </w:category>
        <w:types>
          <w:type w:val="bbPlcHdr"/>
        </w:types>
        <w:behaviors>
          <w:behavior w:val="content"/>
        </w:behaviors>
        <w:guid w:val="{71DB878B-48F1-4BC9-9639-3081662C02FE}"/>
      </w:docPartPr>
      <w:docPartBody>
        <w:p w:rsidR="007E68A3" w:rsidRDefault="007E68A3" w:rsidP="007E68A3">
          <w:pPr>
            <w:pStyle w:val="D996ED0CD6544785961755EC96BCF3F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A3"/>
    <w:rsid w:val="002962F0"/>
    <w:rsid w:val="003F042F"/>
    <w:rsid w:val="006B36FD"/>
    <w:rsid w:val="006D4717"/>
    <w:rsid w:val="007E68A3"/>
    <w:rsid w:val="00C64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8A3"/>
  </w:style>
  <w:style w:type="paragraph" w:customStyle="1" w:styleId="D996ED0CD6544785961755EC96BCF3F9">
    <w:name w:val="D996ED0CD6544785961755EC96BCF3F9"/>
    <w:rsid w:val="007E6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128E650C-00C8-4FEE-B3E8-BF238A4812AB}">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17</TotalTime>
  <Pages>7</Pages>
  <Words>3497</Words>
  <Characters>21374</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24822</CharactersWithSpaces>
  <SharedDoc>false</SharedDoc>
  <HLinks>
    <vt:vector size="12" baseType="variant">
      <vt:variant>
        <vt:i4>3670047</vt:i4>
      </vt:variant>
      <vt:variant>
        <vt:i4>3</vt:i4>
      </vt:variant>
      <vt:variant>
        <vt:i4>0</vt:i4>
      </vt:variant>
      <vt:variant>
        <vt:i4>5</vt:i4>
      </vt:variant>
      <vt:variant>
        <vt:lpwstr>mailto:e.pallett@imperial.ac.uk</vt:lpwstr>
      </vt:variant>
      <vt:variant>
        <vt:lpwstr/>
      </vt:variant>
      <vt:variant>
        <vt:i4>7929974</vt:i4>
      </vt:variant>
      <vt:variant>
        <vt:i4>0</vt:i4>
      </vt:variant>
      <vt:variant>
        <vt:i4>0</vt:i4>
      </vt:variant>
      <vt:variant>
        <vt:i4>5</vt:i4>
      </vt:variant>
      <vt:variant>
        <vt:lpwstr>https://www.ukri.org/councils/epsrc/guidance-for-applicants/what-to-include-in-your-proposal/health-technologies-impact-and-translation-toolkit/research-integrity-in-healthcare-technologies/responsible-research-and-innovation/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erosivat</dc:creator>
  <cp:keywords/>
  <cp:lastModifiedBy>Dipa Gurung</cp:lastModifiedBy>
  <cp:revision>8</cp:revision>
  <cp:lastPrinted>2022-09-30T17:57:00Z</cp:lastPrinted>
  <dcterms:created xsi:type="dcterms:W3CDTF">2024-09-06T17:11:00Z</dcterms:created>
  <dcterms:modified xsi:type="dcterms:W3CDTF">2024-09-09T07:31:00Z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TC100803391033</vt:lpwstr>
  </property>
</Properties>
</file>